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240" w:lineRule="auto"/>
        <w:jc w:val="center"/>
        <w:rPr>
          <w:rFonts w:hint="eastAsia" w:ascii="黑体" w:hAnsi="黑体" w:eastAsia="黑体" w:cs="黑体"/>
          <w:sz w:val="44"/>
          <w:szCs w:val="44"/>
          <w:lang w:val="en-US" w:eastAsia="zh-CN"/>
        </w:rPr>
      </w:pPr>
      <w:r>
        <w:rPr>
          <w:rFonts w:hint="eastAsia" w:ascii="黑体" w:hAnsi="黑体" w:eastAsia="黑体" w:cs="黑体"/>
          <w:sz w:val="44"/>
          <w:szCs w:val="44"/>
        </w:rPr>
        <w:t>景德镇市</w:t>
      </w:r>
      <w:r>
        <w:rPr>
          <w:rFonts w:hint="eastAsia" w:ascii="黑体" w:hAnsi="黑体" w:eastAsia="黑体" w:cs="黑体"/>
          <w:sz w:val="44"/>
          <w:szCs w:val="44"/>
          <w:lang w:val="en-US" w:eastAsia="zh-CN"/>
        </w:rPr>
        <w:t>林业局本级</w:t>
      </w:r>
      <w:r>
        <w:rPr>
          <w:rFonts w:hint="eastAsia" w:ascii="黑体" w:hAnsi="黑体" w:eastAsia="黑体" w:cs="黑体"/>
          <w:sz w:val="44"/>
          <w:szCs w:val="44"/>
          <w:lang w:eastAsia="zh-CN"/>
        </w:rPr>
        <w:t>2022</w:t>
      </w:r>
      <w:r>
        <w:rPr>
          <w:rFonts w:hint="eastAsia" w:ascii="黑体" w:hAnsi="黑体" w:eastAsia="黑体" w:cs="黑体"/>
          <w:sz w:val="44"/>
          <w:szCs w:val="44"/>
        </w:rPr>
        <w:t>年</w:t>
      </w:r>
      <w:r>
        <w:rPr>
          <w:rFonts w:hint="eastAsia" w:ascii="黑体" w:hAnsi="黑体" w:eastAsia="黑体" w:cs="黑体"/>
          <w:sz w:val="44"/>
          <w:szCs w:val="44"/>
          <w:lang w:val="en-US" w:eastAsia="zh-CN"/>
        </w:rPr>
        <w:t>单位</w:t>
      </w:r>
      <w:r>
        <w:rPr>
          <w:rFonts w:hint="eastAsia" w:ascii="黑体" w:hAnsi="黑体" w:eastAsia="黑体" w:cs="黑体"/>
          <w:sz w:val="44"/>
          <w:szCs w:val="44"/>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林业</w:t>
      </w:r>
      <w:r>
        <w:rPr>
          <w:rFonts w:hint="eastAsia" w:ascii="黑体" w:hAnsi="宋体" w:eastAsia="黑体" w:cs="黑体"/>
          <w:sz w:val="32"/>
          <w:szCs w:val="32"/>
        </w:rPr>
        <w:t>局</w:t>
      </w:r>
      <w:r>
        <w:rPr>
          <w:rFonts w:hint="eastAsia" w:ascii="黑体" w:hAnsi="宋体" w:eastAsia="黑体" w:cs="黑体"/>
          <w:sz w:val="32"/>
          <w:szCs w:val="32"/>
          <w:lang w:val="en-US" w:eastAsia="zh-CN"/>
        </w:rPr>
        <w:t>本级</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val="en-US" w:eastAsia="zh-CN"/>
        </w:rPr>
        <w:t>单位机构设置情况</w:t>
      </w:r>
    </w:p>
    <w:p>
      <w:pPr>
        <w:ind w:firstLine="640" w:firstLineChars="200"/>
        <w:rPr>
          <w:rFonts w:ascii="黑体" w:hAnsi="宋体" w:eastAsia="黑体" w:cs="Times New Roman"/>
          <w:w w:val="90"/>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w w:val="90"/>
          <w:sz w:val="32"/>
          <w:szCs w:val="32"/>
        </w:rPr>
        <w:t>景德镇市</w:t>
      </w:r>
      <w:r>
        <w:rPr>
          <w:rFonts w:hint="eastAsia" w:ascii="黑体" w:hAnsi="宋体" w:eastAsia="黑体" w:cs="黑体"/>
          <w:w w:val="90"/>
          <w:sz w:val="32"/>
          <w:szCs w:val="32"/>
          <w:lang w:val="en-US" w:eastAsia="zh-CN"/>
        </w:rPr>
        <w:t>林业</w:t>
      </w:r>
      <w:r>
        <w:rPr>
          <w:rFonts w:hint="eastAsia" w:ascii="黑体" w:hAnsi="宋体" w:eastAsia="黑体" w:cs="黑体"/>
          <w:w w:val="90"/>
          <w:sz w:val="32"/>
          <w:szCs w:val="32"/>
        </w:rPr>
        <w:t>局</w:t>
      </w:r>
      <w:r>
        <w:rPr>
          <w:rFonts w:hint="eastAsia" w:ascii="黑体" w:hAnsi="宋体" w:eastAsia="黑体" w:cs="黑体"/>
          <w:w w:val="90"/>
          <w:sz w:val="32"/>
          <w:szCs w:val="32"/>
          <w:lang w:val="en-US" w:eastAsia="zh-CN"/>
        </w:rPr>
        <w:t>本级</w:t>
      </w:r>
      <w:r>
        <w:rPr>
          <w:rFonts w:hint="eastAsia" w:ascii="黑体" w:hAnsi="宋体" w:eastAsia="黑体" w:cs="黑体"/>
          <w:w w:val="90"/>
          <w:sz w:val="32"/>
          <w:szCs w:val="32"/>
          <w:lang w:eastAsia="zh-CN"/>
        </w:rPr>
        <w:t>2022</w:t>
      </w:r>
      <w:r>
        <w:rPr>
          <w:rFonts w:hint="eastAsia" w:ascii="黑体" w:hAnsi="宋体" w:eastAsia="黑体" w:cs="黑体"/>
          <w:w w:val="90"/>
          <w:sz w:val="32"/>
          <w:szCs w:val="32"/>
        </w:rPr>
        <w:t>年</w:t>
      </w:r>
      <w:r>
        <w:rPr>
          <w:rFonts w:hint="eastAsia" w:ascii="黑体" w:hAnsi="宋体" w:eastAsia="黑体" w:cs="黑体"/>
          <w:w w:val="90"/>
          <w:sz w:val="32"/>
          <w:szCs w:val="32"/>
          <w:lang w:val="en-US" w:eastAsia="zh-CN"/>
        </w:rPr>
        <w:t>单位</w:t>
      </w:r>
      <w:r>
        <w:rPr>
          <w:rFonts w:hint="eastAsia" w:ascii="黑体" w:hAnsi="宋体" w:eastAsia="黑体" w:cs="黑体"/>
          <w:w w:val="90"/>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景德镇市林业</w:t>
      </w:r>
      <w:r>
        <w:rPr>
          <w:rFonts w:hint="eastAsia" w:ascii="黑体" w:hAnsi="宋体" w:eastAsia="黑体" w:cs="黑体"/>
          <w:sz w:val="32"/>
          <w:szCs w:val="32"/>
        </w:rPr>
        <w:t>局</w:t>
      </w:r>
      <w:r>
        <w:rPr>
          <w:rFonts w:hint="eastAsia" w:ascii="黑体" w:hAnsi="宋体" w:eastAsia="黑体" w:cs="黑体"/>
          <w:sz w:val="32"/>
          <w:szCs w:val="32"/>
          <w:lang w:val="en-US" w:eastAsia="zh-CN"/>
        </w:rPr>
        <w:t>本级</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lang w:val="en-US" w:eastAsia="zh-CN"/>
        </w:rPr>
        <w:t>部门</w:t>
      </w:r>
      <w:r>
        <w:rPr>
          <w:rFonts w:ascii="Adobe 仿宋 Std R" w:hAnsi="Adobe 仿宋 Std R" w:eastAsia="Adobe 仿宋 Std R"/>
          <w:kern w:val="2"/>
          <w:sz w:val="32"/>
          <w:szCs w:val="30"/>
        </w:rPr>
        <w:t>收入总表》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lang w:val="en-US" w:eastAsia="zh-CN"/>
        </w:rPr>
        <w:t>部门</w:t>
      </w:r>
      <w:r>
        <w:rPr>
          <w:rFonts w:ascii="Adobe 仿宋 Std R" w:hAnsi="Adobe 仿宋 Std R" w:eastAsia="Adobe 仿宋 Std R"/>
          <w:kern w:val="2"/>
          <w:sz w:val="32"/>
          <w:szCs w:val="30"/>
        </w:rPr>
        <w:t>支出总表》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5"/>
        <w:tabs>
          <w:tab w:val="left" w:pos="6546"/>
        </w:tabs>
        <w:spacing w:line="540" w:lineRule="exact"/>
        <w:ind w:firstLine="1280"/>
        <w:jc w:val="left"/>
        <w:rPr>
          <w:rFonts w:hint="eastAsia" w:ascii="Adobe 仿宋 Std R" w:hAnsi="Adobe 仿宋 Std R" w:eastAsia="Adobe 仿宋 Std R"/>
          <w:kern w:val="2"/>
          <w:sz w:val="32"/>
          <w:szCs w:val="30"/>
          <w:lang w:val="en-US" w:eastAsia="zh-CN"/>
        </w:rPr>
      </w:pPr>
      <w:r>
        <w:rPr>
          <w:rFonts w:hint="eastAsia" w:ascii="Adobe 仿宋 Std R" w:hAnsi="Adobe 仿宋 Std R" w:eastAsia="Adobe 仿宋 Std R"/>
          <w:kern w:val="2"/>
          <w:sz w:val="32"/>
          <w:szCs w:val="30"/>
          <w:lang w:val="en-US" w:eastAsia="zh-CN"/>
        </w:rPr>
        <w:t>九、《国有资本经营预算支出表》</w:t>
      </w:r>
    </w:p>
    <w:p>
      <w:pPr>
        <w:pStyle w:val="15"/>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5"/>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十一</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pStyle w:val="2"/>
        <w:rPr>
          <w:rFonts w:hint="eastAsia"/>
        </w:rPr>
      </w:pPr>
    </w:p>
    <w:p>
      <w:pPr>
        <w:rPr>
          <w:rFonts w:hint="eastAsia"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林业</w:t>
      </w:r>
      <w:r>
        <w:rPr>
          <w:rFonts w:hint="eastAsia" w:ascii="黑体" w:hAnsi="宋体" w:eastAsia="黑体" w:cs="黑体"/>
          <w:sz w:val="32"/>
          <w:szCs w:val="32"/>
        </w:rPr>
        <w:t>局</w:t>
      </w:r>
      <w:r>
        <w:rPr>
          <w:rFonts w:hint="eastAsia" w:ascii="黑体" w:hAnsi="宋体" w:eastAsia="黑体" w:cs="黑体"/>
          <w:sz w:val="32"/>
          <w:szCs w:val="32"/>
          <w:lang w:val="en-US" w:eastAsia="zh-CN"/>
        </w:rPr>
        <w:t>本级</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bookmarkStart w:id="0" w:name="_GoBack"/>
      <w:bookmarkEnd w:id="0"/>
      <w:r>
        <w:rPr>
          <w:rFonts w:hint="eastAsia" w:ascii="仿宋" w:hAnsi="仿宋" w:eastAsia="仿宋" w:cs="仿宋"/>
          <w:sz w:val="32"/>
          <w:szCs w:val="32"/>
        </w:rPr>
        <w:t>(1)负责全市林业和草地及其生态保护修复的监督管理。拟订全市林业和草地及其生态保护修复的地方性政策、规划,并组织实施。组织开展全市森林、湿地、草地、荒漠和陆生野生动植物资源动态监测与评价。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(2)组织全市林业和草地生态保护修复和造林绿化工作。组织实施林业和草地重点生态保护修复工程,指导公益林和商品林的培育,指导、监督全民义务植树、城乡绿化工作。指导植树道林、封山育林和以植树种草等生物措施防治水土流失工作。指导林业有害生物防治、检疫工作。承担林业应对气候变化的相关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(3)负责全市森林、湿地、草地资源的监督管理。组织编制并监督执行全市森林采伐限额。负责林地管理,组织编制全市县级林地保护利用规划并组织实施。组织开展国家、省级和市级公益林划定和管理工作,监督管理国有森林资源。负责草地草畜平衡和草地生态修复治理工作,监督管理草地的开发利用。负责湿地生态保护修复工作,拟订全市湿地保护规划,组织实施建立湿地公园等保护管理工作,监督管理湿地的开发利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(4)负责监督管理全市防沙治沙工作。组织开展沙化土地调查,组织拟订防沙治汐、沙化土地封禁保护区建设规划,监督管理沙化土地的开发利用。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(5)负责全市陆生野生动植物资源监督管理。指导全市陆生野生动植物资源的保护和合理开发利用。指导陆生野生动植物的救护繁育、栖息地恢复发展、疫源疫病监测,监督管理陆生野生动植物猎捕或采集、驯养繁殖或培植、经营利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(6)负责监督管理全市各类自然保护地、风景名胜区、自然遗产、地质公园。拟订各类自然保护地、风景名胜区、自然遗产、地质公园的规划。提出新建、调整各类国家级、省级自然保护地、风景名胜区、自然遗产、地质公园等的审核建议并按程序报批,组织审核世界自然遗产的申报,会同有关部门审核世界自然与文化双重遗产的申报。负责生物多样性保护相关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(7)负责推进全市林业和草地改革相关工作。拟订全市集体林权制度、国有林场等重大林业改革实施意见并监督实施。监督指导农村林业发展、维护林业经营者合法权益,指导农村林地承包经营工作。开展退耕还林,负责天然林保护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(8)拟订全市林业产业发展规划和产业政策,指导和推动林业产业高质量发展。依法负责对全市林区林业专用公路的管理。制定林业和草地资源优化配置及木材利用措施,指导、协调林产品质量监督。指导生态扶贫相关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(9)指导全市国有林场基本建设和发展,组织林木种子草种种质资源普查,组织建立种质资源库,负责良种选育推广,管理林木种苗、草种生产经营行为,监管林木种苗、草种质量。监督管理林业和草地生物种质资源、转基因生物安全、植物新品种保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(10)负责落实综合防灾减灾规划相关要求,组织编制森林和草地火灾防治规划和防护标准并指导实施,指导开展森林防火巡护、火源管理、防火设施建设等工作。组织指导国有林场开展宣传教育、监测预警、督促检查等防火工作。必要时,可以提请市应急管理局,以市应急指挥机构名义,部署相关防治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(11)承担林业安全生产监督管理职责。指导、协调林业企事业单位的森林采伐和林产品加工生产经营中的安全监督管理工作,负责所属企事业单位的安全生产管理。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(12)负责林业行业生态环境保护和节能减排主作,督促指导相关单位落实生态环境保护责任制。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(13)监督管理林业和草地项目资金和国有资产,提出林业和草地预算内投资、市级财政性资金安排建议。指导全市林业基本建设工作,组织申报重点林业建设项目。参与拟订林业和经济调节政策,组织实施林业和草地生态补偿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14）负责全市林业系统科技、教育工作,指导全市林业系统人才队伍建设,组织实施林业国际交流与合作事务,承担湿地、防治荒漠化、濒危野生动植物等国际公约景德镇履约工作。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（15）完成市委、市政府交办的共他任务。</w:t>
      </w:r>
    </w:p>
    <w:p>
      <w:pPr>
        <w:ind w:firstLine="640" w:firstLineChars="200"/>
        <w:rPr>
          <w:rFonts w:hint="eastAsia" w:ascii="仿宋_GB2312" w:hAnsi="宋体" w:eastAsia="仿宋_GB2312" w:cs="仿宋_GB2312"/>
          <w:b/>
          <w:bCs/>
          <w:sz w:val="32"/>
          <w:szCs w:val="32"/>
        </w:rPr>
      </w:pPr>
      <w:r>
        <w:rPr>
          <w:rFonts w:hint="eastAsia" w:ascii="仿宋" w:hAnsi="仿宋" w:eastAsia="仿宋" w:cs="仿宋"/>
          <w:sz w:val="32"/>
          <w:szCs w:val="32"/>
        </w:rPr>
        <w:t>（16）职能转变。市林业局要切实推动林业生态文明体制机制创新,全面推行林长制,加大生态系统保护力度;实施重要生态系统保护和修复工程,大力推进国土绿化;加强森林、湿地草地监督管理的统筹协调,保障国家生态安全;加快建立以国家公园为主体的自然保护地体系,统一推进全市各类自然保护地、风景名胜区、地质公园的清理规范和归并整合,构建统一规范高效、具有景德镇特色的国家公园体制。</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基本情况</w:t>
      </w:r>
    </w:p>
    <w:p>
      <w:pPr>
        <w:snapToGrid/>
        <w:spacing w:line="240" w:lineRule="auto"/>
        <w:ind w:firstLine="640" w:firstLineChars="200"/>
        <w:rPr>
          <w:rFonts w:ascii="仿宋_GB2312" w:hAnsi="宋体" w:eastAsia="仿宋_GB2312" w:cs="仿宋_GB2312"/>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年度，</w:t>
      </w:r>
      <w:r>
        <w:rPr>
          <w:rFonts w:hint="eastAsia" w:ascii="仿宋" w:hAnsi="仿宋" w:eastAsia="仿宋" w:cs="仿宋"/>
          <w:sz w:val="32"/>
          <w:szCs w:val="32"/>
          <w:lang w:val="en-US" w:eastAsia="zh-CN"/>
        </w:rPr>
        <w:t>市林业局下设</w:t>
      </w:r>
      <w:r>
        <w:rPr>
          <w:rFonts w:hint="eastAsia" w:ascii="仿宋" w:hAnsi="仿宋" w:eastAsia="仿宋" w:cs="仿宋"/>
          <w:sz w:val="32"/>
          <w:szCs w:val="32"/>
          <w:lang w:eastAsia="zh-CN"/>
        </w:rPr>
        <w:t>办公室、政务服务科(政策法规和林业改革科)、造林绿化科(市绿化委员会办公室)、</w:t>
      </w:r>
      <w:r>
        <w:rPr>
          <w:rFonts w:hint="eastAsia" w:ascii="仿宋" w:hAnsi="仿宋" w:eastAsia="仿宋" w:cs="仿宋"/>
          <w:sz w:val="32"/>
          <w:szCs w:val="32"/>
          <w:lang w:val="en-US" w:eastAsia="zh-CN"/>
        </w:rPr>
        <w:t>森林资源管理科(市林长办公室)、自然保护地和野生动植物保护管理科、科技产业发展科、规划财务科、灾害防治科八个科室。编制数31</w:t>
      </w:r>
      <w:r>
        <w:rPr>
          <w:rFonts w:hint="eastAsia" w:ascii="仿宋" w:hAnsi="仿宋" w:eastAsia="仿宋" w:cs="仿宋"/>
          <w:sz w:val="32"/>
          <w:szCs w:val="32"/>
        </w:rPr>
        <w:t>人，其中行政编制</w:t>
      </w:r>
      <w:r>
        <w:rPr>
          <w:rFonts w:hint="eastAsia" w:ascii="仿宋" w:hAnsi="仿宋" w:eastAsia="仿宋" w:cs="仿宋"/>
          <w:sz w:val="32"/>
          <w:szCs w:val="32"/>
          <w:lang w:val="en-US" w:eastAsia="zh-CN"/>
        </w:rPr>
        <w:t>26</w:t>
      </w:r>
      <w:r>
        <w:rPr>
          <w:rFonts w:hint="eastAsia" w:ascii="仿宋" w:hAnsi="仿宋" w:eastAsia="仿宋" w:cs="仿宋"/>
          <w:sz w:val="32"/>
          <w:szCs w:val="32"/>
        </w:rPr>
        <w:t>人、全额</w:t>
      </w:r>
      <w:r>
        <w:rPr>
          <w:rFonts w:hint="eastAsia" w:ascii="仿宋" w:hAnsi="仿宋" w:eastAsia="仿宋" w:cs="仿宋"/>
          <w:sz w:val="32"/>
          <w:szCs w:val="32"/>
          <w:lang w:val="en-US" w:eastAsia="zh-CN"/>
        </w:rPr>
        <w:t>补助</w:t>
      </w:r>
      <w:r>
        <w:rPr>
          <w:rFonts w:hint="eastAsia" w:ascii="仿宋" w:hAnsi="仿宋" w:eastAsia="仿宋" w:cs="仿宋"/>
          <w:sz w:val="32"/>
          <w:szCs w:val="32"/>
        </w:rPr>
        <w:t>事业编制</w:t>
      </w:r>
      <w:r>
        <w:rPr>
          <w:rFonts w:hint="eastAsia" w:ascii="仿宋" w:hAnsi="仿宋" w:eastAsia="仿宋" w:cs="仿宋"/>
          <w:sz w:val="32"/>
          <w:szCs w:val="32"/>
          <w:lang w:val="en-US" w:eastAsia="zh-CN"/>
        </w:rPr>
        <w:t>5</w:t>
      </w:r>
      <w:r>
        <w:rPr>
          <w:rFonts w:hint="eastAsia" w:ascii="仿宋" w:hAnsi="仿宋" w:eastAsia="仿宋" w:cs="仿宋"/>
          <w:sz w:val="32"/>
          <w:szCs w:val="32"/>
        </w:rPr>
        <w:t>人。实有人数</w:t>
      </w:r>
      <w:r>
        <w:rPr>
          <w:rFonts w:hint="eastAsia" w:ascii="仿宋" w:hAnsi="仿宋" w:eastAsia="仿宋" w:cs="仿宋"/>
          <w:sz w:val="32"/>
          <w:szCs w:val="32"/>
          <w:lang w:val="en-US" w:eastAsia="zh-CN"/>
        </w:rPr>
        <w:t>76</w:t>
      </w:r>
      <w:r>
        <w:rPr>
          <w:rFonts w:hint="eastAsia" w:ascii="仿宋" w:hAnsi="仿宋" w:eastAsia="仿宋" w:cs="仿宋"/>
          <w:sz w:val="32"/>
          <w:szCs w:val="32"/>
        </w:rPr>
        <w:t>人，</w:t>
      </w:r>
      <w:r>
        <w:rPr>
          <w:rFonts w:hint="eastAsia" w:ascii="仿宋" w:hAnsi="仿宋" w:eastAsia="仿宋" w:cs="仿宋"/>
          <w:sz w:val="32"/>
          <w:szCs w:val="32"/>
          <w:lang w:val="en-US" w:eastAsia="zh-CN"/>
        </w:rPr>
        <w:t>其中在职27人，</w:t>
      </w:r>
      <w:r>
        <w:rPr>
          <w:rFonts w:hint="eastAsia" w:ascii="仿宋" w:hAnsi="仿宋" w:eastAsia="仿宋" w:cs="仿宋"/>
          <w:sz w:val="32"/>
          <w:szCs w:val="32"/>
        </w:rPr>
        <w:t>包括行政</w:t>
      </w:r>
      <w:r>
        <w:rPr>
          <w:rFonts w:hint="eastAsia" w:ascii="仿宋" w:hAnsi="仿宋" w:eastAsia="仿宋" w:cs="仿宋"/>
          <w:sz w:val="32"/>
          <w:szCs w:val="32"/>
          <w:lang w:val="en-US" w:eastAsia="zh-CN"/>
        </w:rPr>
        <w:t>27</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离休</w:t>
      </w:r>
      <w:r>
        <w:rPr>
          <w:rFonts w:hint="eastAsia" w:ascii="仿宋" w:hAnsi="仿宋" w:eastAsia="仿宋" w:cs="仿宋"/>
          <w:sz w:val="32"/>
          <w:szCs w:val="32"/>
          <w:lang w:val="en-US" w:eastAsia="zh-CN"/>
        </w:rPr>
        <w:t>1</w:t>
      </w:r>
      <w:r>
        <w:rPr>
          <w:rFonts w:hint="eastAsia" w:ascii="仿宋" w:hAnsi="仿宋" w:eastAsia="仿宋" w:cs="仿宋"/>
          <w:sz w:val="32"/>
          <w:szCs w:val="32"/>
        </w:rPr>
        <w:t>人；退休</w:t>
      </w:r>
      <w:r>
        <w:rPr>
          <w:rFonts w:hint="eastAsia" w:ascii="仿宋" w:hAnsi="仿宋" w:eastAsia="仿宋" w:cs="仿宋"/>
          <w:sz w:val="32"/>
          <w:szCs w:val="32"/>
          <w:lang w:val="en-US" w:eastAsia="zh-CN"/>
        </w:rPr>
        <w:t>46</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遗属2人</w:t>
      </w:r>
      <w:r>
        <w:rPr>
          <w:rFonts w:hint="eastAsia" w:ascii="仿宋" w:hAnsi="仿宋" w:eastAsia="仿宋" w:cs="仿宋"/>
          <w:sz w:val="32"/>
          <w:szCs w:val="32"/>
          <w:lang w:eastAsia="zh-CN"/>
        </w:rPr>
        <w:t>。</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景德镇市林业</w:t>
      </w:r>
      <w:r>
        <w:rPr>
          <w:rFonts w:hint="eastAsia" w:ascii="黑体" w:hAnsi="宋体" w:eastAsia="黑体" w:cs="黑体"/>
          <w:sz w:val="32"/>
          <w:szCs w:val="32"/>
        </w:rPr>
        <w:t>局</w:t>
      </w:r>
      <w:r>
        <w:rPr>
          <w:rFonts w:hint="eastAsia" w:ascii="黑体" w:hAnsi="宋体" w:eastAsia="黑体" w:cs="黑体"/>
          <w:sz w:val="32"/>
          <w:szCs w:val="32"/>
          <w:lang w:val="en-US" w:eastAsia="zh-CN"/>
        </w:rPr>
        <w:t>本级</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2022</w:t>
      </w:r>
      <w:r>
        <w:rPr>
          <w:rFonts w:hint="eastAsia" w:ascii="黑体" w:hAnsi="黑体" w:eastAsia="黑体" w:cs="黑体"/>
          <w:b w:val="0"/>
          <w:bCs w:val="0"/>
          <w:sz w:val="32"/>
          <w:szCs w:val="32"/>
        </w:rPr>
        <w:t>年</w:t>
      </w:r>
      <w:r>
        <w:rPr>
          <w:rFonts w:hint="eastAsia" w:ascii="黑体" w:hAnsi="黑体" w:eastAsia="黑体" w:cs="黑体"/>
          <w:b w:val="0"/>
          <w:bCs w:val="0"/>
          <w:sz w:val="32"/>
          <w:szCs w:val="32"/>
          <w:lang w:val="en-US" w:eastAsia="zh-CN"/>
        </w:rPr>
        <w:t>单位</w:t>
      </w:r>
      <w:r>
        <w:rPr>
          <w:rFonts w:hint="eastAsia" w:ascii="黑体" w:hAnsi="黑体" w:eastAsia="黑体" w:cs="黑体"/>
          <w:b w:val="0"/>
          <w:bCs w:val="0"/>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年</w:t>
      </w:r>
      <w:r>
        <w:rPr>
          <w:rFonts w:hint="eastAsia" w:ascii="仿宋_GB2312" w:hAnsi="宋体" w:eastAsia="仿宋_GB2312" w:cs="仿宋_GB2312"/>
          <w:sz w:val="32"/>
          <w:szCs w:val="32"/>
          <w:lang w:val="en-US" w:eastAsia="zh-CN"/>
        </w:rPr>
        <w:t>景德镇市林业局本级</w:t>
      </w:r>
      <w:r>
        <w:rPr>
          <w:rFonts w:hint="eastAsia" w:ascii="仿宋_GB2312" w:hAnsi="宋体" w:eastAsia="仿宋_GB2312" w:cs="仿宋_GB2312"/>
          <w:sz w:val="32"/>
          <w:szCs w:val="32"/>
          <w:lang w:eastAsia="zh-CN"/>
        </w:rPr>
        <w:t>收入预算总额为</w:t>
      </w:r>
      <w:r>
        <w:rPr>
          <w:rFonts w:hint="eastAsia" w:ascii="仿宋_GB2312" w:hAnsi="宋体" w:eastAsia="仿宋_GB2312" w:cs="仿宋_GB2312"/>
          <w:sz w:val="32"/>
          <w:szCs w:val="32"/>
          <w:lang w:val="en-US" w:eastAsia="zh-CN"/>
        </w:rPr>
        <w:t>535.56</w:t>
      </w:r>
      <w:r>
        <w:rPr>
          <w:rFonts w:hint="eastAsia" w:ascii="仿宋_GB2312" w:hAnsi="宋体" w:eastAsia="仿宋_GB2312" w:cs="仿宋_GB2312"/>
          <w:sz w:val="32"/>
          <w:szCs w:val="32"/>
          <w:lang w:eastAsia="zh-CN"/>
        </w:rPr>
        <w:t>万元，与上年预算相比</w:t>
      </w:r>
      <w:r>
        <w:rPr>
          <w:rFonts w:hint="eastAsia" w:ascii="仿宋_GB2312" w:hAnsi="宋体" w:eastAsia="仿宋_GB2312" w:cs="仿宋_GB2312"/>
          <w:sz w:val="32"/>
          <w:szCs w:val="32"/>
          <w:lang w:val="en-US" w:eastAsia="zh-CN"/>
        </w:rPr>
        <w:t>减少了1111.9万元，减少67.49%</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主要原因是原市林木种苗站及市林业工作站因事业单位机构改革2022年实行单独核算；提前下达资金及政府奖励性工资暂未纳入2022年年初预算</w:t>
      </w:r>
      <w:r>
        <w:rPr>
          <w:rFonts w:hint="eastAsia" w:ascii="仿宋_GB2312" w:hAnsi="宋体" w:eastAsia="仿宋_GB2312" w:cs="仿宋_GB2312"/>
          <w:sz w:val="32"/>
          <w:szCs w:val="32"/>
          <w:lang w:eastAsia="zh-CN"/>
        </w:rPr>
        <w:t>。其中：当年公共财政拨款收入</w:t>
      </w:r>
      <w:r>
        <w:rPr>
          <w:rFonts w:hint="eastAsia" w:ascii="仿宋_GB2312" w:hAnsi="宋体" w:eastAsia="仿宋_GB2312" w:cs="仿宋_GB2312"/>
          <w:sz w:val="32"/>
          <w:szCs w:val="32"/>
          <w:lang w:val="en-US" w:eastAsia="zh-CN"/>
        </w:rPr>
        <w:t>535.56</w:t>
      </w:r>
      <w:r>
        <w:rPr>
          <w:rFonts w:hint="eastAsia" w:ascii="仿宋_GB2312" w:hAnsi="宋体" w:eastAsia="仿宋_GB2312" w:cs="仿宋_GB2312"/>
          <w:sz w:val="32"/>
          <w:szCs w:val="32"/>
          <w:lang w:eastAsia="zh-CN"/>
        </w:rPr>
        <w:t>万元，占收入预算总额的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景德镇市林业局本级</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535.56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与上年预算相比</w:t>
      </w:r>
      <w:r>
        <w:rPr>
          <w:rFonts w:hint="eastAsia" w:ascii="仿宋_GB2312" w:hAnsi="宋体" w:eastAsia="仿宋_GB2312" w:cs="仿宋_GB2312"/>
          <w:sz w:val="32"/>
          <w:szCs w:val="32"/>
          <w:lang w:val="en-US" w:eastAsia="zh-CN"/>
        </w:rPr>
        <w:t>减少了1111.9万元，减少67.49%</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主要原因是原市林木种苗站及市林业工作站因事业单位机构改革2022年实行单独核算；提前下达资金及政府奖励性工资暂未纳入2022年年初预算</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其中：</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518.06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94.25</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424.59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70.64</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17.83</w:t>
      </w:r>
      <w:r>
        <w:rPr>
          <w:rFonts w:hint="eastAsia" w:ascii="仿宋_GB2312" w:hAnsi="宋体" w:eastAsia="仿宋_GB2312" w:cs="仿宋_GB2312"/>
          <w:sz w:val="32"/>
          <w:szCs w:val="32"/>
        </w:rPr>
        <w:t>万元、资本性支出</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17.5</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5.75</w:t>
      </w:r>
      <w:r>
        <w:rPr>
          <w:rFonts w:hint="eastAsia" w:ascii="仿宋_GB2312" w:hAnsi="宋体" w:eastAsia="仿宋_GB2312" w:cs="仿宋_GB2312"/>
          <w:sz w:val="32"/>
          <w:szCs w:val="32"/>
        </w:rPr>
        <w:t>%，包括商品和服务支出</w:t>
      </w:r>
      <w:r>
        <w:rPr>
          <w:rFonts w:hint="eastAsia" w:ascii="仿宋_GB2312" w:hAnsi="宋体" w:eastAsia="仿宋_GB2312" w:cs="仿宋_GB2312"/>
          <w:sz w:val="32"/>
          <w:szCs w:val="32"/>
          <w:lang w:val="en-US" w:eastAsia="zh-CN"/>
        </w:rPr>
        <w:t>17.5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按支出功能科目划分：</w:t>
      </w:r>
      <w:r>
        <w:rPr>
          <w:rFonts w:hint="eastAsia" w:ascii="仿宋_GB2312" w:hAnsi="宋体" w:eastAsia="仿宋_GB2312" w:cs="仿宋_GB2312"/>
          <w:sz w:val="32"/>
          <w:szCs w:val="32"/>
          <w:lang w:val="en-US" w:eastAsia="zh-CN"/>
        </w:rPr>
        <w:t>社会保障和就业支出67.11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12.53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卫生健康支出48.79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9.11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农林水支出374.96万元，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70.01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住房保障支出44.7万元，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8.35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424.59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79.28</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88.14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16.46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对个人和家庭的补助17.83万元，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3.33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资本性支出5万元，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0.93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年</w:t>
      </w:r>
      <w:r>
        <w:rPr>
          <w:rFonts w:hint="eastAsia" w:ascii="仿宋_GB2312" w:hAnsi="宋体" w:eastAsia="仿宋_GB2312" w:cs="仿宋_GB2312"/>
          <w:sz w:val="32"/>
          <w:szCs w:val="32"/>
          <w:lang w:val="en-US" w:eastAsia="zh-CN"/>
        </w:rPr>
        <w:t>景德镇市林业局本级</w:t>
      </w:r>
      <w:r>
        <w:rPr>
          <w:rFonts w:hint="eastAsia" w:ascii="仿宋_GB2312" w:hAnsi="宋体" w:eastAsia="仿宋_GB2312" w:cs="仿宋_GB2312"/>
          <w:sz w:val="32"/>
          <w:szCs w:val="32"/>
          <w:lang w:eastAsia="zh-CN"/>
        </w:rPr>
        <w:t>财政拨款支出预算</w:t>
      </w:r>
      <w:r>
        <w:rPr>
          <w:rFonts w:hint="eastAsia" w:ascii="仿宋_GB2312" w:hAnsi="宋体" w:eastAsia="仿宋_GB2312" w:cs="仿宋_GB2312"/>
          <w:sz w:val="32"/>
          <w:szCs w:val="32"/>
          <w:lang w:val="en-US" w:eastAsia="zh-CN"/>
        </w:rPr>
        <w:t>535.56</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%，与上年预算相比</w:t>
      </w:r>
      <w:r>
        <w:rPr>
          <w:rFonts w:hint="eastAsia" w:ascii="仿宋_GB2312" w:hAnsi="宋体" w:eastAsia="仿宋_GB2312" w:cs="仿宋_GB2312"/>
          <w:sz w:val="32"/>
          <w:szCs w:val="32"/>
          <w:lang w:val="en-US" w:eastAsia="zh-CN"/>
        </w:rPr>
        <w:t>减少了1111.9万元，减少67.49%</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主要原因是原市林木种苗站及市林业工作站因事业单位机构改革2022年实行单独核算；提前下达资金及政府奖励性工资暂未纳入2022年年初预算。</w:t>
      </w:r>
      <w:r>
        <w:rPr>
          <w:rFonts w:hint="eastAsia" w:ascii="仿宋_GB2312" w:hAnsi="宋体" w:eastAsia="仿宋_GB2312" w:cs="仿宋_GB2312"/>
          <w:sz w:val="32"/>
          <w:szCs w:val="32"/>
          <w:lang w:eastAsia="zh-CN"/>
        </w:rPr>
        <w:t>具体支出情况是：</w:t>
      </w:r>
      <w:r>
        <w:rPr>
          <w:rFonts w:hint="eastAsia" w:ascii="仿宋_GB2312" w:hAnsi="宋体" w:eastAsia="仿宋_GB2312" w:cs="仿宋_GB2312"/>
          <w:sz w:val="32"/>
          <w:szCs w:val="32"/>
          <w:lang w:val="en-US" w:eastAsia="zh-CN"/>
        </w:rPr>
        <w:t>社会保障和就业支出67.11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12.53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卫生健康支出48.79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9.11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农林水支出374.96万元，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70.01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住房保障支出44.7万元，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8.35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keepNext w:val="0"/>
        <w:keepLines w:val="0"/>
        <w:pageBreakBefore w:val="0"/>
        <w:tabs>
          <w:tab w:val="left" w:pos="1162"/>
        </w:tabs>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四</w:t>
      </w:r>
      <w:r>
        <w:rPr>
          <w:rFonts w:hint="eastAsia" w:ascii="仿宋_GB2312" w:hAnsi="宋体" w:eastAsia="仿宋_GB2312" w:cs="仿宋_GB2312"/>
          <w:b/>
          <w:bCs/>
          <w:sz w:val="32"/>
          <w:szCs w:val="32"/>
        </w:rPr>
        <w:t>）政府基金收支情况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2022年本单位没有使用政府性基金预算拨款安排的支出。</w:t>
      </w:r>
    </w:p>
    <w:p>
      <w:pPr>
        <w:widowControl/>
        <w:spacing w:line="600" w:lineRule="exact"/>
        <w:ind w:firstLine="640"/>
        <w:jc w:val="left"/>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（五）国有资本经营情况</w:t>
      </w:r>
    </w:p>
    <w:p>
      <w:pPr>
        <w:widowControl/>
        <w:spacing w:line="600" w:lineRule="exact"/>
        <w:ind w:firstLine="64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2022年本单位没有使用国有资本经营预算拨款安排的支出。</w:t>
      </w:r>
    </w:p>
    <w:p>
      <w:pPr>
        <w:widowControl/>
        <w:spacing w:line="600" w:lineRule="exact"/>
        <w:ind w:firstLine="640"/>
        <w:jc w:val="left"/>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hint="eastAsia" w:ascii="Adobe 仿宋 Std R" w:hAnsi="Adobe 仿宋 Std R" w:eastAsia="Adobe 仿宋 Std R"/>
          <w:sz w:val="32"/>
          <w:szCs w:val="32"/>
        </w:rPr>
      </w:pPr>
      <w:r>
        <w:rPr>
          <w:rStyle w:val="14"/>
          <w:rFonts w:hint="eastAsia" w:ascii="Adobe 仿宋 Std R" w:hAnsi="Adobe 仿宋 Std R" w:eastAsia="Adobe 仿宋 Std R"/>
          <w:sz w:val="32"/>
          <w:szCs w:val="32"/>
        </w:rPr>
        <w:t>2022年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75.64</w:t>
      </w:r>
      <w:r>
        <w:rPr>
          <w:rFonts w:hint="eastAsia" w:ascii="Adobe 仿宋 Std R" w:hAnsi="Adobe 仿宋 Std R" w:eastAsia="Adobe 仿宋 Std R"/>
          <w:sz w:val="32"/>
          <w:szCs w:val="32"/>
        </w:rPr>
        <w:t>万元，比2021年预</w:t>
      </w:r>
      <w:r>
        <w:rPr>
          <w:rFonts w:hint="eastAsia" w:ascii="Adobe 仿宋 Std R" w:hAnsi="Adobe 仿宋 Std R" w:eastAsia="Adobe 仿宋 Std R"/>
          <w:sz w:val="32"/>
          <w:szCs w:val="32"/>
          <w:u w:val="none"/>
        </w:rPr>
        <w:t>算减少</w:t>
      </w:r>
      <w:r>
        <w:rPr>
          <w:rFonts w:hint="eastAsia" w:ascii="仿宋_GB2312" w:eastAsia="仿宋_GB2312"/>
          <w:sz w:val="32"/>
          <w:szCs w:val="30"/>
          <w:u w:val="none"/>
          <w:lang w:val="en-US" w:eastAsia="zh-CN"/>
        </w:rPr>
        <w:t>46.72</w:t>
      </w:r>
      <w:r>
        <w:rPr>
          <w:rFonts w:hint="eastAsia" w:ascii="Adobe 仿宋 Std R" w:hAnsi="Adobe 仿宋 Std R" w:eastAsia="Adobe 仿宋 Std R"/>
          <w:sz w:val="32"/>
          <w:szCs w:val="32"/>
          <w:u w:val="none"/>
        </w:rPr>
        <w:t>万元，下降</w:t>
      </w:r>
      <w:r>
        <w:rPr>
          <w:rFonts w:hint="eastAsia" w:ascii="仿宋_GB2312" w:eastAsia="仿宋_GB2312"/>
          <w:sz w:val="32"/>
          <w:szCs w:val="30"/>
          <w:u w:val="none"/>
          <w:lang w:val="en-US" w:eastAsia="zh-CN"/>
        </w:rPr>
        <w:t>38.18</w:t>
      </w:r>
      <w:r>
        <w:rPr>
          <w:rFonts w:hint="eastAsia" w:ascii="Adobe 仿宋 Std R" w:hAnsi="Adobe 仿宋 Std R" w:eastAsia="Adobe 仿宋 Std R"/>
          <w:sz w:val="32"/>
          <w:szCs w:val="32"/>
          <w:u w:val="none"/>
        </w:rPr>
        <w:t>%</w:t>
      </w:r>
      <w:r>
        <w:rPr>
          <w:rFonts w:hint="eastAsia" w:ascii="Adobe 仿宋 Std R" w:hAnsi="Adobe 仿宋 Std R" w:eastAsia="Adobe 仿宋 Std R"/>
          <w:sz w:val="32"/>
          <w:szCs w:val="32"/>
          <w:u w:val="none"/>
          <w:lang w:eastAsia="zh-CN"/>
        </w:rPr>
        <w:t>，</w:t>
      </w:r>
      <w:r>
        <w:rPr>
          <w:rFonts w:hint="eastAsia" w:ascii="仿宋_GB2312" w:hAnsi="宋体" w:eastAsia="仿宋_GB2312" w:cs="仿宋_GB2312"/>
          <w:sz w:val="32"/>
          <w:szCs w:val="32"/>
          <w:lang w:val="en-US" w:eastAsia="zh-CN"/>
        </w:rPr>
        <w:t>主要原因是原市林木种苗站及市林业工作站因事业单位机构改革2022年实行单独核算，本单位人员减少</w:t>
      </w:r>
      <w:r>
        <w:rPr>
          <w:rFonts w:hint="eastAsia" w:ascii="Adobe 仿宋 Std R" w:hAnsi="Adobe 仿宋 Std R" w:eastAsia="Adobe 仿宋 Std R"/>
          <w:sz w:val="32"/>
          <w:szCs w:val="32"/>
          <w:u w:val="none"/>
        </w:rPr>
        <w:t>。</w:t>
      </w:r>
    </w:p>
    <w:p>
      <w:pPr>
        <w:widowControl/>
        <w:spacing w:line="580" w:lineRule="exact"/>
        <w:ind w:firstLine="636"/>
        <w:jc w:val="left"/>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tabs>
          <w:tab w:val="left" w:pos="1113"/>
        </w:tabs>
        <w:ind w:firstLine="643" w:firstLineChars="200"/>
        <w:rPr>
          <w:rFonts w:hint="eastAsia" w:ascii="仿宋_GB2312" w:hAnsi="宋体" w:eastAsia="仿宋_GB2312" w:cs="仿宋_GB2312"/>
          <w:b/>
          <w:bCs/>
          <w:sz w:val="32"/>
          <w:szCs w:val="32"/>
          <w:u w:val="none"/>
        </w:rPr>
      </w:pPr>
      <w:r>
        <w:rPr>
          <w:rStyle w:val="14"/>
          <w:rFonts w:hint="eastAsia" w:ascii="宋体" w:hAnsi="宋体"/>
          <w:b/>
          <w:sz w:val="32"/>
          <w:szCs w:val="32"/>
          <w:u w:val="none"/>
        </w:rPr>
        <w:t xml:space="preserve">  </w:t>
      </w:r>
      <w:r>
        <w:rPr>
          <w:rFonts w:hint="eastAsia" w:ascii="Adobe 仿宋 Std R" w:hAnsi="Adobe 仿宋 Std R" w:eastAsia="Adobe 仿宋 Std R"/>
          <w:sz w:val="32"/>
          <w:szCs w:val="32"/>
          <w:u w:val="none"/>
        </w:rPr>
        <w:t>2022年政府采购总额</w:t>
      </w:r>
      <w:r>
        <w:rPr>
          <w:rFonts w:hint="eastAsia" w:ascii="仿宋_GB2312" w:eastAsia="仿宋_GB2312"/>
          <w:sz w:val="32"/>
          <w:szCs w:val="30"/>
          <w:u w:val="none"/>
          <w:lang w:val="en-US" w:eastAsia="zh-CN"/>
        </w:rPr>
        <w:t>5</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其中</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政府采购货物预算</w:t>
      </w:r>
      <w:r>
        <w:rPr>
          <w:rFonts w:hint="eastAsia" w:ascii="仿宋_GB2312" w:eastAsia="仿宋_GB2312"/>
          <w:sz w:val="32"/>
          <w:szCs w:val="30"/>
          <w:u w:val="none"/>
          <w:lang w:val="en-US" w:eastAsia="zh-CN"/>
        </w:rPr>
        <w:t>5</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政府采购工程预算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政府采购服务预算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p>
    <w:p>
      <w:pPr>
        <w:tabs>
          <w:tab w:val="left" w:pos="1113"/>
        </w:tabs>
        <w:ind w:firstLine="643"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（八）国有资产占有使用情况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b w:val="0"/>
          <w:bCs w:val="0"/>
          <w:sz w:val="32"/>
          <w:szCs w:val="32"/>
          <w:lang w:val="en-US" w:eastAsia="zh-CN"/>
        </w:rPr>
      </w:pPr>
      <w:r>
        <w:rPr>
          <w:rFonts w:hint="eastAsia" w:ascii="Adobe 仿宋 Std R" w:hAnsi="Adobe 仿宋 Std R" w:eastAsia="Adobe 仿宋 Std R"/>
          <w:sz w:val="32"/>
          <w:szCs w:val="32"/>
          <w:highlight w:val="none"/>
        </w:rPr>
        <w:t>截至202</w:t>
      </w:r>
      <w:r>
        <w:rPr>
          <w:rFonts w:hint="eastAsia" w:ascii="Adobe 仿宋 Std R" w:hAnsi="Adobe 仿宋 Std R" w:eastAsia="Adobe 仿宋 Std R"/>
          <w:sz w:val="32"/>
          <w:szCs w:val="32"/>
          <w:highlight w:val="none"/>
          <w:lang w:val="en-US" w:eastAsia="zh-CN"/>
        </w:rPr>
        <w:t>1</w:t>
      </w:r>
      <w:r>
        <w:rPr>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lang w:val="en-US" w:eastAsia="zh-CN"/>
        </w:rPr>
        <w:t>8</w:t>
      </w:r>
      <w:r>
        <w:rPr>
          <w:rFonts w:hint="eastAsia" w:ascii="Adobe 仿宋 Std R" w:hAnsi="Adobe 仿宋 Std R" w:eastAsia="Adobe 仿宋 Std R"/>
          <w:sz w:val="32"/>
          <w:szCs w:val="32"/>
          <w:highlight w:val="none"/>
        </w:rPr>
        <w:t>月</w:t>
      </w:r>
      <w:r>
        <w:rPr>
          <w:rFonts w:hint="eastAsia" w:ascii="Adobe 仿宋 Std R" w:hAnsi="Adobe 仿宋 Std R" w:eastAsia="Adobe 仿宋 Std R"/>
          <w:sz w:val="32"/>
          <w:szCs w:val="32"/>
          <w:highlight w:val="none"/>
          <w:lang w:val="en-US" w:eastAsia="zh-CN"/>
        </w:rPr>
        <w:t>31</w:t>
      </w:r>
      <w:r>
        <w:rPr>
          <w:rFonts w:hint="eastAsia" w:ascii="Adobe 仿宋 Std R" w:hAnsi="Adobe 仿宋 Std R" w:eastAsia="Adobe 仿宋 Std R"/>
          <w:sz w:val="32"/>
          <w:szCs w:val="32"/>
          <w:highlight w:val="none"/>
        </w:rPr>
        <w:t>日</w:t>
      </w:r>
      <w:r>
        <w:rPr>
          <w:rFonts w:hint="eastAsia" w:ascii="Adobe 仿宋 Std R" w:hAnsi="Adobe 仿宋 Std R" w:eastAsia="Adobe 仿宋 Std R"/>
          <w:sz w:val="32"/>
          <w:szCs w:val="32"/>
          <w:highlight w:val="none"/>
          <w:lang w:eastAsia="zh-CN"/>
        </w:rPr>
        <w:t>，</w:t>
      </w:r>
      <w:r>
        <w:rPr>
          <w:rFonts w:hint="eastAsia" w:ascii="仿宋_GB2312" w:hAnsi="宋体" w:eastAsia="仿宋_GB2312" w:cs="仿宋_GB2312"/>
          <w:b w:val="0"/>
          <w:bCs w:val="0"/>
          <w:sz w:val="32"/>
          <w:szCs w:val="32"/>
          <w:lang w:val="en-US" w:eastAsia="zh-CN"/>
        </w:rPr>
        <w:t>单位共有车辆3辆，其中：一般公务用车实有数0辆，执法执勤用车实有数3辆。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lang w:eastAsia="zh-CN"/>
        </w:rPr>
      </w:pPr>
      <w:r>
        <w:rPr>
          <w:rFonts w:hint="eastAsia" w:ascii="仿宋_GB2312" w:hAnsi="宋体" w:eastAsia="仿宋_GB2312" w:cs="仿宋_GB2312"/>
          <w:b w:val="0"/>
          <w:bCs w:val="0"/>
          <w:sz w:val="32"/>
          <w:szCs w:val="32"/>
          <w:lang w:val="en-US" w:eastAsia="zh-CN"/>
        </w:rPr>
        <w:t>2022年单位预算安排购置车辆0辆，未安排购置单位价值200万以上大型设备。</w:t>
      </w:r>
    </w:p>
    <w:p>
      <w:pPr>
        <w:widowControl/>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九</w:t>
      </w:r>
      <w:r>
        <w:rPr>
          <w:rFonts w:hint="eastAsia" w:ascii="仿宋_GB2312" w:eastAsia="仿宋_GB2312"/>
          <w:b/>
          <w:color w:val="000000"/>
          <w:sz w:val="32"/>
          <w:szCs w:val="30"/>
        </w:rPr>
        <w:t>）</w:t>
      </w:r>
      <w:r>
        <w:rPr>
          <w:rFonts w:hint="eastAsia" w:ascii="仿宋_GB2312" w:eastAsia="仿宋_GB2312"/>
          <w:b/>
          <w:color w:val="000000"/>
          <w:sz w:val="32"/>
          <w:szCs w:val="30"/>
          <w:lang w:eastAsia="zh-CN"/>
        </w:rPr>
        <w:t>临时工聘用劳务费</w:t>
      </w:r>
      <w:r>
        <w:rPr>
          <w:rFonts w:hint="eastAsia" w:ascii="仿宋_GB2312" w:eastAsia="仿宋_GB2312"/>
          <w:b/>
          <w:color w:val="000000"/>
          <w:sz w:val="32"/>
          <w:szCs w:val="30"/>
        </w:rPr>
        <w:t>项目情况说明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项目概述：完善后勤工作保障，保障单位良好运转。</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立项依据：《关于</w:t>
      </w:r>
      <w:r>
        <w:rPr>
          <w:rFonts w:hint="eastAsia" w:ascii="仿宋_GB2312" w:eastAsia="仿宋_GB2312"/>
          <w:color w:val="000000"/>
          <w:sz w:val="32"/>
          <w:szCs w:val="30"/>
          <w:lang w:val="en-US" w:eastAsia="zh-CN"/>
        </w:rPr>
        <w:t>进一步明确2022年市本级部门预算编制有关事项</w:t>
      </w:r>
      <w:r>
        <w:rPr>
          <w:rFonts w:hint="eastAsia" w:ascii="仿宋_GB2312" w:eastAsia="仿宋_GB2312"/>
          <w:color w:val="000000"/>
          <w:sz w:val="32"/>
          <w:szCs w:val="30"/>
          <w:lang w:eastAsia="zh-CN"/>
        </w:rPr>
        <w:t>的通知》（</w:t>
      </w:r>
      <w:r>
        <w:rPr>
          <w:rFonts w:hint="eastAsia" w:ascii="仿宋_GB2312" w:eastAsia="仿宋_GB2312"/>
          <w:color w:val="000000"/>
          <w:sz w:val="32"/>
          <w:szCs w:val="30"/>
          <w:lang w:val="en-US" w:eastAsia="zh-CN"/>
        </w:rPr>
        <w:t>景财预〔2021〕22号）。</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景德镇市林业局本级。</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用于聘请机关后勤保障人员，完善后勤工作保障，保障单位良好运转。</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2022年1月1日至2022年12月31日。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财政拨款17.5万元。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绩效目标：完善后勤工作保障，保障单位良好运转。</w:t>
      </w:r>
    </w:p>
    <w:p>
      <w:pPr>
        <w:keepNext w:val="0"/>
        <w:keepLines w:val="0"/>
        <w:pageBreakBefore w:val="0"/>
        <w:tabs>
          <w:tab w:val="left" w:pos="1113"/>
        </w:tabs>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指标：①产出指标：临聘人员数量=5人；临聘人员劳务合同签订率=100%；劳务工资发放到位及时性（及时）；临聘人员成本=3.6万元/人/年。②效益指标：完善机关后勤保障工作（显著）；促进单位良好运转（显著）。③满意度指标：临聘人员满意度≥95%。</w:t>
      </w:r>
    </w:p>
    <w:p>
      <w:pPr>
        <w:ind w:firstLine="640" w:firstLineChars="200"/>
        <w:rPr>
          <w:rFonts w:hint="eastAsia" w:ascii="黑体" w:hAnsi="宋体" w:eastAsia="黑体" w:cs="黑体"/>
          <w:sz w:val="32"/>
          <w:szCs w:val="32"/>
        </w:rPr>
      </w:pPr>
      <w:r>
        <w:rPr>
          <w:rFonts w:hint="eastAsia" w:ascii="黑体" w:hAnsi="宋体" w:eastAsia="黑体" w:cs="黑体"/>
          <w:sz w:val="32"/>
          <w:szCs w:val="32"/>
        </w:rPr>
        <w:t>二、2022年“三公”经费预算情况说明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景德镇市林业局本级</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21.77</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比</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减少5万元</w:t>
      </w:r>
      <w:r>
        <w:rPr>
          <w:rFonts w:hint="eastAsia" w:ascii="仿宋_GB2312" w:hAnsi="宋体" w:eastAsia="仿宋_GB2312" w:cs="仿宋_GB2312"/>
          <w:sz w:val="32"/>
          <w:szCs w:val="32"/>
        </w:rPr>
        <w:t>，主要原因：</w:t>
      </w:r>
      <w:r>
        <w:rPr>
          <w:rFonts w:hint="eastAsia" w:ascii="仿宋_GB2312" w:eastAsia="仿宋_GB2312" w:cs="仿宋_GB2312"/>
          <w:sz w:val="32"/>
          <w:szCs w:val="32"/>
          <w:lang w:eastAsia="zh-CN"/>
        </w:rPr>
        <w:t>牢固树立过紧日子思想，</w:t>
      </w:r>
      <w:r>
        <w:rPr>
          <w:rFonts w:hint="eastAsia" w:ascii="仿宋_GB2312" w:eastAsia="仿宋_GB2312" w:cs="仿宋_GB2312"/>
          <w:sz w:val="32"/>
          <w:szCs w:val="32"/>
          <w:lang w:val="en-US" w:eastAsia="zh-CN"/>
        </w:rPr>
        <w:t>压缩</w:t>
      </w:r>
      <w:r>
        <w:rPr>
          <w:rFonts w:hint="eastAsia" w:ascii="仿宋_GB2312" w:eastAsia="仿宋_GB2312" w:cs="仿宋_GB2312"/>
          <w:sz w:val="32"/>
          <w:szCs w:val="32"/>
          <w:lang w:eastAsia="zh-CN"/>
        </w:rPr>
        <w:t>“三公”经费支出</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预算安排保持一致</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7.77</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预算安排保持一致</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val="en-US" w:eastAsia="zh-CN"/>
        </w:rPr>
        <w:t>减少55</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牢固树立过紧日子思想，</w:t>
      </w:r>
      <w:r>
        <w:rPr>
          <w:rFonts w:hint="eastAsia" w:ascii="仿宋_GB2312" w:eastAsia="仿宋_GB2312" w:cs="仿宋_GB2312"/>
          <w:sz w:val="32"/>
          <w:szCs w:val="32"/>
          <w:lang w:val="en-US" w:eastAsia="zh-CN"/>
        </w:rPr>
        <w:t>压缩</w:t>
      </w:r>
      <w:r>
        <w:rPr>
          <w:rFonts w:hint="eastAsia" w:ascii="仿宋_GB2312" w:eastAsia="仿宋_GB2312" w:cs="仿宋_GB2312"/>
          <w:sz w:val="32"/>
          <w:szCs w:val="32"/>
          <w:lang w:eastAsia="zh-CN"/>
        </w:rPr>
        <w:t>“三公”经费支出</w:t>
      </w:r>
      <w:r>
        <w:rPr>
          <w:rFonts w:hint="eastAsia" w:ascii="仿宋_GB2312" w:hAnsi="宋体" w:eastAsia="仿宋_GB2312" w:cs="仿宋_GB2312"/>
          <w:sz w:val="32"/>
          <w:szCs w:val="32"/>
        </w:rPr>
        <w:t>。</w:t>
      </w:r>
    </w:p>
    <w:p>
      <w:pPr>
        <w:ind w:firstLine="320" w:firstLineChars="100"/>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林业</w:t>
      </w:r>
      <w:r>
        <w:rPr>
          <w:rFonts w:hint="eastAsia" w:ascii="黑体" w:hAnsi="宋体" w:eastAsia="黑体" w:cs="黑体"/>
          <w:sz w:val="32"/>
          <w:szCs w:val="32"/>
        </w:rPr>
        <w:t>局</w:t>
      </w:r>
      <w:r>
        <w:rPr>
          <w:rFonts w:hint="eastAsia" w:ascii="黑体" w:hAnsi="宋体" w:eastAsia="黑体" w:cs="黑体"/>
          <w:sz w:val="32"/>
          <w:szCs w:val="32"/>
          <w:lang w:val="en-US" w:eastAsia="zh-CN"/>
        </w:rPr>
        <w:t>本级</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ind w:firstLine="320" w:firstLineChars="100"/>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2022</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（七）农林水支出（类）林业和草原（款）行政运行（项）：反映行政单位（包括实行公务员法管理的事业单位）的基本支出。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（八）农林水支出（类）林业和草原（款）事业机构（项）：反映事业单位的基本支出，不包括行政单位（含实行公务员管理的事业单位）后勤服务中心等附事业单位的支出。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（九）农林水支出（类）林业和草原（款）森林资源培育（项）：反映育苗（种）、造林、抚育、退化林修复、义务植树、生物质能源建设等方面的支出。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（十）农林水支出（类）林业和草原（款）技术推广与转化（项）：反映良种繁育、新技术引进、区域化试验、示范、技术推广、成果转化、科学普及等方面的支出。 </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（十一）农林水支出（类）林业和草原（款）森林资源管理（项）：反映森林资源核查、监测、评估、经营利用、林地保护等方面的支出。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（十二）农林水支出（类）林业和草原（款）森林生态效益补偿（项）：反映用于公益林保护和管理等方面的支出。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三）农林水支出（类）林业和草原（款）自然保护区等管理（项）：反映除国家公园外的自然保护区、风景名胜区、自然遗产、地质公园等自然保护地建设、调查、规划、监测，管护能力提升、生态补偿、生态保护和修复、科研、宣传及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四）农林水支出（类）林业和草原（款）动植物保护（项）：反映动植物资源生存环境调查、监测、保护管理、野外放（回）归、巡护、野生动物疫源疫病监测防控、濒危野生动植物拯救、繁育及进出口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（十五）农林水支出（类）林业和草原（款）湿地保护（项）：反映湿地保护和管理方面的支出。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（十六）农林水支出（类）林业和草原（款）执法与监督（项）：反映执法与监督队伍建设，刑事、行政案件受理、查处和督办，行政许可、复议与诉讼管理等方面的支出。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（十七）农林水支出（类）林业和草原（款）产业化管理（项）：反映产业化管理方面的支出。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（十八）农林水支出（类）林业和草原（款）防灾减灾（项）：反映病虫害等有害生物灾害、野生动物疫病灾害等方面的支出。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九）农林水支出（类）林业和草原（款）行业业务管理（项）：反映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（二十）农林水支出（类）林业和草原（款）其他林业和草原支出（项）：反映除上述项目以外其他用于林业和草原方面的支出。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（二十一）住房保障支出（类）住房改革支出（款）住房公积金（项）：反映行政事业单位按人力资源和社会保障部、财政部规定的基本工资和津贴补贴以及规定比例为职工缴纳的住房公积金。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（二十二）</w:t>
      </w:r>
      <w:r>
        <w:rPr>
          <w:rFonts w:hint="eastAsia" w:ascii="仿宋_GB2312" w:eastAsia="仿宋_GB2312"/>
          <w:color w:val="000000"/>
          <w:sz w:val="32"/>
          <w:szCs w:val="30"/>
        </w:rPr>
        <w:t>“三公”经费支出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（二十三）</w:t>
      </w:r>
      <w:r>
        <w:rPr>
          <w:rFonts w:hint="eastAsia" w:ascii="仿宋_GB2312" w:eastAsia="仿宋_GB2312"/>
          <w:color w:val="000000"/>
          <w:sz w:val="32"/>
          <w:szCs w:val="30"/>
        </w:rPr>
        <w:t>机关运行经费支出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hint="default" w:ascii="仿宋_GB2312" w:eastAsia="仿宋_GB2312"/>
          <w:color w:val="000000"/>
          <w:sz w:val="32"/>
          <w:szCs w:val="30"/>
          <w:lang w:val="en-US"/>
        </w:rPr>
      </w:pPr>
      <w:r>
        <w:rPr>
          <w:rFonts w:hint="eastAsia" w:ascii="仿宋_GB2312" w:eastAsia="仿宋_GB2312"/>
          <w:color w:val="000000"/>
          <w:sz w:val="32"/>
          <w:szCs w:val="30"/>
          <w:lang w:val="en-US" w:eastAsia="zh-CN"/>
        </w:rPr>
        <w:t>（二十四）国有资本经营预算支出：是对国有资本收益作出安排的收支预算，主要用于国有企业资本性支出、费用支出和调入一般公共预算等。资本性支出包括结构调整和产业发展支出、前瞻性和科技创新支出、公益和基础设施支出等；费用性支出包括国有企业政策性补贴、国有企业改革成本支出和国资监管费等。</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dobe 仿宋 Std R">
    <w:altName w:val="仿宋"/>
    <w:panose1 w:val="00000000000000000000"/>
    <w:charset w:val="86"/>
    <w:family w:val="roman"/>
    <w:pitch w:val="default"/>
    <w:sig w:usb0="00000000" w:usb1="0000000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Fonts w:cs="Times New Roman"/>
      </w:rPr>
    </w:pPr>
    <w:r>
      <w:rPr>
        <w:rStyle w:val="10"/>
      </w:rPr>
      <w:fldChar w:fldCharType="begin"/>
    </w:r>
    <w:r>
      <w:rPr>
        <w:rStyle w:val="10"/>
      </w:rPr>
      <w:instrText xml:space="preserve">PAGE  </w:instrText>
    </w:r>
    <w:r>
      <w:rPr>
        <w:rStyle w:val="10"/>
      </w:rPr>
      <w:fldChar w:fldCharType="separate"/>
    </w:r>
    <w:r>
      <w:rPr>
        <w:rStyle w:val="10"/>
      </w:rPr>
      <w:t>8</w:t>
    </w:r>
    <w:r>
      <w:rPr>
        <w:rStyle w:val="10"/>
      </w:rPr>
      <w:fldChar w:fldCharType="end"/>
    </w:r>
  </w:p>
  <w:p>
    <w:pPr>
      <w:pStyle w:val="7"/>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YjI5ZWE1ODQyN2QwNTI3YWFlOTEzYzZlZWVhZmMifQ=="/>
  </w:docVars>
  <w:rsids>
    <w:rsidRoot w:val="19076E1D"/>
    <w:rsid w:val="000429DB"/>
    <w:rsid w:val="00066060"/>
    <w:rsid w:val="003D49CE"/>
    <w:rsid w:val="00675E17"/>
    <w:rsid w:val="00683AC4"/>
    <w:rsid w:val="008110CC"/>
    <w:rsid w:val="00B358C5"/>
    <w:rsid w:val="00C04C9A"/>
    <w:rsid w:val="00CB427A"/>
    <w:rsid w:val="00F500B9"/>
    <w:rsid w:val="01377F8B"/>
    <w:rsid w:val="01992CBB"/>
    <w:rsid w:val="022502CD"/>
    <w:rsid w:val="029E275E"/>
    <w:rsid w:val="03AF786B"/>
    <w:rsid w:val="046D5EC7"/>
    <w:rsid w:val="04F05A45"/>
    <w:rsid w:val="057771A3"/>
    <w:rsid w:val="05EB1609"/>
    <w:rsid w:val="08EE0B31"/>
    <w:rsid w:val="0A326819"/>
    <w:rsid w:val="0A5A0963"/>
    <w:rsid w:val="0C8A5D1D"/>
    <w:rsid w:val="0CBF216E"/>
    <w:rsid w:val="0EA31D7A"/>
    <w:rsid w:val="0FCB58D0"/>
    <w:rsid w:val="110F7B9B"/>
    <w:rsid w:val="11427CB1"/>
    <w:rsid w:val="134358DA"/>
    <w:rsid w:val="139E3D52"/>
    <w:rsid w:val="13A54FC4"/>
    <w:rsid w:val="13DD5D2E"/>
    <w:rsid w:val="149C57C9"/>
    <w:rsid w:val="14DE3B0C"/>
    <w:rsid w:val="15FD0860"/>
    <w:rsid w:val="162B4B72"/>
    <w:rsid w:val="176522C3"/>
    <w:rsid w:val="18972950"/>
    <w:rsid w:val="18AC060B"/>
    <w:rsid w:val="19076E1D"/>
    <w:rsid w:val="199926F8"/>
    <w:rsid w:val="1A947C48"/>
    <w:rsid w:val="1EBD751D"/>
    <w:rsid w:val="1EBF367A"/>
    <w:rsid w:val="1F117155"/>
    <w:rsid w:val="204B45CE"/>
    <w:rsid w:val="22BB36DF"/>
    <w:rsid w:val="25705B71"/>
    <w:rsid w:val="2737056C"/>
    <w:rsid w:val="28287DC5"/>
    <w:rsid w:val="296D4B09"/>
    <w:rsid w:val="297A2696"/>
    <w:rsid w:val="2A9544C4"/>
    <w:rsid w:val="2DBB222D"/>
    <w:rsid w:val="2DF53F49"/>
    <w:rsid w:val="31D40AAE"/>
    <w:rsid w:val="32C01DBF"/>
    <w:rsid w:val="36911979"/>
    <w:rsid w:val="37A661B6"/>
    <w:rsid w:val="381119B2"/>
    <w:rsid w:val="39006AC0"/>
    <w:rsid w:val="3BD871B8"/>
    <w:rsid w:val="3BEB2545"/>
    <w:rsid w:val="3CF55A87"/>
    <w:rsid w:val="3DA70722"/>
    <w:rsid w:val="3DBE114B"/>
    <w:rsid w:val="405C2296"/>
    <w:rsid w:val="414760B0"/>
    <w:rsid w:val="4250579A"/>
    <w:rsid w:val="429A727D"/>
    <w:rsid w:val="4322216B"/>
    <w:rsid w:val="463B406B"/>
    <w:rsid w:val="47305B9A"/>
    <w:rsid w:val="47716333"/>
    <w:rsid w:val="47A5376F"/>
    <w:rsid w:val="497A75A0"/>
    <w:rsid w:val="4C0B38BC"/>
    <w:rsid w:val="4C0B7195"/>
    <w:rsid w:val="4C237A7B"/>
    <w:rsid w:val="4D3B293C"/>
    <w:rsid w:val="4EED159A"/>
    <w:rsid w:val="4F714FA1"/>
    <w:rsid w:val="5151424A"/>
    <w:rsid w:val="51B40312"/>
    <w:rsid w:val="52E52F98"/>
    <w:rsid w:val="56552A05"/>
    <w:rsid w:val="57CC144D"/>
    <w:rsid w:val="58C73E6B"/>
    <w:rsid w:val="5AFC4F93"/>
    <w:rsid w:val="5B8B6F55"/>
    <w:rsid w:val="5E841376"/>
    <w:rsid w:val="601A422B"/>
    <w:rsid w:val="60917251"/>
    <w:rsid w:val="60AA3C8F"/>
    <w:rsid w:val="60FB0B6F"/>
    <w:rsid w:val="62B20F12"/>
    <w:rsid w:val="635B76A3"/>
    <w:rsid w:val="63620A31"/>
    <w:rsid w:val="63973295"/>
    <w:rsid w:val="641E7445"/>
    <w:rsid w:val="64C23E7D"/>
    <w:rsid w:val="65516FAF"/>
    <w:rsid w:val="66822278"/>
    <w:rsid w:val="67CB3049"/>
    <w:rsid w:val="6964438B"/>
    <w:rsid w:val="6B364C7D"/>
    <w:rsid w:val="6BD66460"/>
    <w:rsid w:val="6E465727"/>
    <w:rsid w:val="6E572362"/>
    <w:rsid w:val="6F0173F4"/>
    <w:rsid w:val="6FB97C2B"/>
    <w:rsid w:val="6FED3D79"/>
    <w:rsid w:val="701662A8"/>
    <w:rsid w:val="70911573"/>
    <w:rsid w:val="709D754D"/>
    <w:rsid w:val="71452C49"/>
    <w:rsid w:val="728A3B01"/>
    <w:rsid w:val="73224148"/>
    <w:rsid w:val="742E24FE"/>
    <w:rsid w:val="74AE3AD6"/>
    <w:rsid w:val="755C1784"/>
    <w:rsid w:val="75826D11"/>
    <w:rsid w:val="77017866"/>
    <w:rsid w:val="772860B1"/>
    <w:rsid w:val="772C06BD"/>
    <w:rsid w:val="785B21C7"/>
    <w:rsid w:val="789F6FC9"/>
    <w:rsid w:val="796230E1"/>
    <w:rsid w:val="7AA53BCD"/>
    <w:rsid w:val="7B364590"/>
    <w:rsid w:val="7B4102B0"/>
    <w:rsid w:val="7F0C59E2"/>
    <w:rsid w:val="7F6934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1"/>
    <w:qFormat/>
    <w:uiPriority w:val="99"/>
    <w:pPr>
      <w:keepNext/>
      <w:keepLines/>
      <w:spacing w:line="416" w:lineRule="auto"/>
      <w:outlineLvl w:val="1"/>
    </w:pPr>
    <w:rPr>
      <w:rFonts w:ascii="Arial" w:hAnsi="Arial" w:eastAsia="黑体" w:cs="Arial"/>
      <w:b/>
      <w:bCs/>
      <w:sz w:val="32"/>
      <w:szCs w:val="32"/>
    </w:rPr>
  </w:style>
  <w:style w:type="paragraph" w:styleId="5">
    <w:name w:val="heading 3"/>
    <w:basedOn w:val="1"/>
    <w:next w:val="1"/>
    <w:unhideWhenUsed/>
    <w:qFormat/>
    <w:locked/>
    <w:uiPriority w:val="0"/>
    <w:pPr>
      <w:keepNext/>
      <w:keepLines/>
      <w:spacing w:before="260" w:after="26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link w:val="13"/>
    <w:semiHidden/>
    <w:unhideWhenUsed/>
    <w:qFormat/>
    <w:uiPriority w:val="99"/>
    <w:rPr>
      <w:sz w:val="18"/>
      <w:szCs w:val="18"/>
    </w:rPr>
  </w:style>
  <w:style w:type="paragraph" w:styleId="7">
    <w:name w:val="footer"/>
    <w:basedOn w:val="1"/>
    <w:link w:val="12"/>
    <w:qFormat/>
    <w:uiPriority w:val="99"/>
    <w:pPr>
      <w:tabs>
        <w:tab w:val="center" w:pos="4153"/>
        <w:tab w:val="right" w:pos="8306"/>
      </w:tabs>
      <w:snapToGrid w:val="0"/>
      <w:jc w:val="left"/>
    </w:pPr>
    <w:rPr>
      <w:sz w:val="18"/>
      <w:szCs w:val="18"/>
    </w:rPr>
  </w:style>
  <w:style w:type="character" w:styleId="10">
    <w:name w:val="page number"/>
    <w:basedOn w:val="9"/>
    <w:qFormat/>
    <w:uiPriority w:val="99"/>
  </w:style>
  <w:style w:type="character" w:customStyle="1" w:styleId="11">
    <w:name w:val="标题 2 Char"/>
    <w:basedOn w:val="9"/>
    <w:link w:val="4"/>
    <w:semiHidden/>
    <w:qFormat/>
    <w:uiPriority w:val="9"/>
    <w:rPr>
      <w:rFonts w:asciiTheme="majorHAnsi" w:hAnsiTheme="majorHAnsi" w:eastAsiaTheme="majorEastAsia" w:cstheme="majorBidi"/>
      <w:b/>
      <w:bCs/>
      <w:sz w:val="32"/>
      <w:szCs w:val="32"/>
    </w:rPr>
  </w:style>
  <w:style w:type="character" w:customStyle="1" w:styleId="12">
    <w:name w:val="页脚 Char"/>
    <w:basedOn w:val="9"/>
    <w:link w:val="7"/>
    <w:semiHidden/>
    <w:qFormat/>
    <w:uiPriority w:val="99"/>
    <w:rPr>
      <w:rFonts w:cs="Calibri"/>
      <w:sz w:val="18"/>
      <w:szCs w:val="18"/>
    </w:rPr>
  </w:style>
  <w:style w:type="character" w:customStyle="1" w:styleId="13">
    <w:name w:val="批注框文本 Char"/>
    <w:basedOn w:val="9"/>
    <w:link w:val="6"/>
    <w:semiHidden/>
    <w:qFormat/>
    <w:uiPriority w:val="99"/>
    <w:rPr>
      <w:rFonts w:ascii="Calibri" w:hAnsi="Calibri" w:cs="Calibri"/>
      <w:kern w:val="2"/>
      <w:sz w:val="18"/>
      <w:szCs w:val="18"/>
    </w:rPr>
  </w:style>
  <w:style w:type="character" w:customStyle="1" w:styleId="14">
    <w:name w:val="row_tree_level_4"/>
    <w:basedOn w:val="9"/>
    <w:qFormat/>
    <w:uiPriority w:val="0"/>
  </w:style>
  <w:style w:type="paragraph" w:customStyle="1" w:styleId="15">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14</Pages>
  <Words>6293</Words>
  <Characters>6670</Characters>
  <Lines>3</Lines>
  <Paragraphs>5</Paragraphs>
  <TotalTime>3</TotalTime>
  <ScaleCrop>false</ScaleCrop>
  <LinksUpToDate>false</LinksUpToDate>
  <CharactersWithSpaces>6706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刘捷琳</cp:lastModifiedBy>
  <cp:lastPrinted>2021-05-26T02:23:00Z</cp:lastPrinted>
  <dcterms:modified xsi:type="dcterms:W3CDTF">2023-07-05T07:45:53Z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E5698E31C3B64D42A9CCAD3BF971F92D_13</vt:lpwstr>
  </property>
</Properties>
</file>