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eastAsia="zh-CN"/>
        </w:rPr>
        <w:t>景德镇市林业经济发展中心</w:t>
      </w:r>
      <w:r>
        <w:rPr>
          <w:rFonts w:hint="eastAsia" w:ascii="方正大标宋简体" w:hAnsi="方正大标宋简体" w:eastAsia="方正大标宋简体" w:cs="方正大标宋简体"/>
          <w:b w:val="0"/>
          <w:bCs w:val="0"/>
          <w:color w:val="000000"/>
          <w:kern w:val="0"/>
          <w:sz w:val="44"/>
          <w:szCs w:val="44"/>
          <w:lang w:val="en-US" w:eastAsia="zh-CN"/>
        </w:rPr>
        <w:t>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val="en-US" w:eastAsia="zh-CN"/>
        </w:rPr>
        <w:t xml:space="preserve">      </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景德镇市林业经济发展中心</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景德镇市林业经济发展中心2023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景德镇市林业经济发展中心</w:t>
      </w:r>
      <w:r>
        <w:rPr>
          <w:rFonts w:hint="eastAsia" w:ascii="黑体" w:hAnsi="黑体" w:eastAsia="黑体" w:cs="黑体"/>
          <w:b/>
          <w:bCs/>
          <w:color w:val="000000"/>
          <w:sz w:val="32"/>
          <w:szCs w:val="32"/>
          <w:lang w:val="en-US" w:eastAsia="zh-CN"/>
        </w:rPr>
        <w:t>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景德镇市林业经济发展中心</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pStyle w:val="5"/>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b/>
          <w:sz w:val="32"/>
          <w:szCs w:val="32"/>
        </w:rPr>
      </w:pPr>
      <w:r>
        <w:rPr>
          <w:rFonts w:hint="eastAsia" w:ascii="仿宋_GB2312" w:hAnsi="仿宋_GB2312" w:eastAsia="仿宋_GB2312" w:cs="仿宋_GB2312"/>
          <w:kern w:val="2"/>
          <w:sz w:val="32"/>
          <w:szCs w:val="30"/>
          <w:lang w:val="en-US" w:eastAsia="zh-CN" w:bidi="ar-SA"/>
        </w:rPr>
        <w:t>景德镇</w:t>
      </w:r>
      <w:r>
        <w:rPr>
          <w:rFonts w:hint="eastAsia" w:ascii="仿宋_GB2312" w:hAnsi="仿宋_GB2312" w:eastAsia="仿宋_GB2312" w:cs="仿宋_GB2312"/>
          <w:kern w:val="2"/>
          <w:sz w:val="32"/>
          <w:szCs w:val="30"/>
          <w:lang w:val="en-US" w:eastAsia="en-US" w:bidi="ar-SA"/>
        </w:rPr>
        <w:t>市林业</w:t>
      </w:r>
      <w:r>
        <w:rPr>
          <w:rFonts w:hint="eastAsia" w:ascii="仿宋_GB2312" w:hAnsi="仿宋_GB2312" w:eastAsia="仿宋_GB2312" w:cs="仿宋_GB2312"/>
          <w:kern w:val="2"/>
          <w:sz w:val="32"/>
          <w:szCs w:val="30"/>
          <w:lang w:val="en-US" w:eastAsia="zh-CN" w:bidi="ar-SA"/>
        </w:rPr>
        <w:t>经济发展中心</w:t>
      </w:r>
      <w:r>
        <w:rPr>
          <w:rFonts w:hint="eastAsia" w:ascii="仿宋_GB2312" w:hAnsi="仿宋_GB2312" w:eastAsia="仿宋_GB2312" w:cs="仿宋_GB2312"/>
          <w:kern w:val="2"/>
          <w:sz w:val="32"/>
          <w:szCs w:val="30"/>
          <w:lang w:val="en-US" w:eastAsia="en-US" w:bidi="ar-SA"/>
        </w:rPr>
        <w:t>为</w:t>
      </w:r>
      <w:r>
        <w:rPr>
          <w:rFonts w:hint="eastAsia" w:ascii="仿宋_GB2312" w:hAnsi="仿宋_GB2312" w:eastAsia="仿宋_GB2312" w:cs="仿宋_GB2312"/>
          <w:kern w:val="2"/>
          <w:sz w:val="32"/>
          <w:szCs w:val="30"/>
          <w:lang w:val="en-US" w:eastAsia="zh-CN" w:bidi="ar-SA"/>
        </w:rPr>
        <w:t>景德镇市林业局所属正科级公益一类事业单位，</w:t>
      </w:r>
      <w:r>
        <w:rPr>
          <w:rFonts w:hint="eastAsia" w:ascii="仿宋_GB2312" w:hAnsi="仿宋_GB2312" w:eastAsia="仿宋_GB2312" w:cs="仿宋_GB2312"/>
          <w:kern w:val="2"/>
          <w:sz w:val="32"/>
          <w:szCs w:val="30"/>
          <w:lang w:val="en-US" w:eastAsia="en-US" w:bidi="ar-SA"/>
        </w:rPr>
        <w:t>主要职责是</w:t>
      </w:r>
      <w:r>
        <w:rPr>
          <w:rFonts w:hint="eastAsia" w:ascii="仿宋_GB2312" w:hAnsi="仿宋_GB2312" w:eastAsia="仿宋_GB2312" w:cs="仿宋_GB2312"/>
          <w:kern w:val="2"/>
          <w:sz w:val="32"/>
          <w:szCs w:val="30"/>
          <w:lang w:val="en-US" w:eastAsia="zh-CN" w:bidi="ar-SA"/>
        </w:rPr>
        <w:t>：承担森林资源利用、林业经济发展技术支撑服务保障；为森林公园及国有场圃提供技术服务保障等工作。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德镇市林业经济发展中心内设科室2个，包括：综合办公室、财务室。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编制人数共计11人，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全部补助事业编制人数11人。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实有人数共计14人，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全部补助事业人员在职人数9人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退休人数小计5人。</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景德镇市林业经济发展中心</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景德镇市林业经济发展中心</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lang w:val="en-US" w:eastAsia="zh-CN"/>
        </w:rPr>
        <w:t xml:space="preserve">       </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pStyle w:val="5"/>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2023年景德镇市林业经济发展中心收入预算总额为121.73万元，较上年预算安排增加6.20万元；财政拨款收入121.73万元，较上年预算安排增加6.20万元。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2023年景德镇市林业经济发展中心支出预算总额为121.73万元，较上年预算安排增加6.20万元；其中：</w:t>
      </w:r>
    </w:p>
    <w:p>
      <w:pPr>
        <w:pStyle w:val="5"/>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按支出项目类别划分：基本支出121.73万元，较上年预算安排增加6.20万元；其中：工资福利支出114.36万元，商品和服务支出5.15万元，对个人和家庭的补助0.72万元，资本性支出1.50万元。</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textAlignment w:val="auto"/>
        <w:rPr>
          <w:rFonts w:hint="eastAsia"/>
          <w:spacing w:val="11"/>
          <w:lang w:val="en-US" w:eastAsia="zh-CN"/>
        </w:rPr>
      </w:pPr>
      <w:r>
        <w:rPr>
          <w:rFonts w:hint="eastAsia"/>
          <w:spacing w:val="11"/>
          <w:lang w:val="en-US" w:eastAsia="zh-CN"/>
        </w:rPr>
        <w:t>按支出功能科目划分：社会保障和就业支出17.89万元，较上年预算安排增加1.09万元；卫生健康支出10.51万元，较上年预算安排减少0.04万元；农林水支出84.39万元，较上年预算安排增加4.61万元；住房保障支出8.94万元，较上年预算安排增加0.54万元。</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64" w:firstLineChars="200"/>
        <w:textAlignment w:val="auto"/>
        <w:rPr>
          <w:rFonts w:hint="eastAsia"/>
          <w:spacing w:val="11"/>
          <w:lang w:val="en-US" w:eastAsia="zh-CN"/>
        </w:rPr>
      </w:pPr>
      <w:r>
        <w:rPr>
          <w:rFonts w:hint="eastAsia"/>
          <w:spacing w:val="11"/>
          <w:lang w:val="en-US" w:eastAsia="zh-CN"/>
        </w:rPr>
        <w:t>按支出经济分类划分：工资福利支出114.36万元，较上年预算安排增加6.08万元；商品和服务支出5.15万元，较上年预算安排增加（减少）0.00万元；对个人和家庭的补助0.72万元，较上年预算安排增加0.12万元；资本性支出1.50万元，较上年预算安排增加（减少）0.00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2023年景德镇市林业经济发展中心财政拨款支出预算总额121.73万元，较上年预算安排增加6.20万元；其中：</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按支出功能科目划分：社会保障和就业支出17.89万元，卫生健康支出10.51万元，农林水支出84.39万元，住房保障支出8.94万元。</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按支出项目类别划分：基本支出121.73万元，较上年预算安排增加6.20万元；其中：工资福利支出114.36万元，商品和服务支出5.15万元，对个人和家庭的补助0.72万元，资本性支出1.50万元。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本单位非行政参公单位，无机关运行经费。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2023年景德镇市林业经济发展中心政府采购总额14.50万元，其中：政府采购货物预算14.50万元，政府采购工程预算0.00万元，政府采购服务预算0.00万元。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单位共有车辆0辆；其中：一般业务用车实有数0辆，特殊业务用车实有数0辆，执法执勤用车实有数0辆。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2023年单位预算安排购置车辆0辆，未安排购置单位价值200万元以上大型设备。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（九）项目情况说明</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11" w:line="600" w:lineRule="exact"/>
        <w:ind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本单位本年度未安排项目。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2023年景德镇市林业经济发展中心为"三公"经费财政拨款安排0.80万元，其中：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因公出国（境）费0.00万元,比上年增加（减少）0.00万元，主要原因是：与上年安排一致。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公务接待费0.80万元,比上年减少1.00万元，主要原因是：与上年安排一致。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公务用车运行维护费0.00万元,比上年增加（减少）0.00万元，主要原因是：与上年安排一致。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公务用车购置费0.00万元,比上年增加（减少）0.00万元，主要原因是：与上年安排一致。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1.事业机构（项）：反映事业单位的基本支出，不包括行政单位（含实行公务员管理的事业单位）后勤服务中心等附事业单位的支出。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1</w:t>
      </w:r>
      <w:bookmarkStart w:id="0" w:name="_GoBack"/>
      <w:bookmarkEnd w:id="0"/>
      <w:r>
        <w:rPr>
          <w:rFonts w:hint="eastAsia" w:ascii="仿宋_GB2312" w:eastAsia="仿宋_GB2312"/>
          <w:color w:val="000000"/>
          <w:sz w:val="32"/>
          <w:szCs w:val="30"/>
          <w:lang w:val="en-US" w:eastAsia="zh-CN"/>
        </w:rPr>
        <w:t>.住房公积金（项）：反映行政事业单位按人力资源和社会保障部、财政部规定的基本工资和津贴补贴以及规定比例为职工缴纳的住房公积金。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01A4C"/>
    <w:multiLevelType w:val="singleLevel"/>
    <w:tmpl w:val="01F01A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48D43A6"/>
    <w:rsid w:val="06483D8D"/>
    <w:rsid w:val="065E2551"/>
    <w:rsid w:val="067A6028"/>
    <w:rsid w:val="0A794431"/>
    <w:rsid w:val="0C7805F2"/>
    <w:rsid w:val="0C97247A"/>
    <w:rsid w:val="0DB3098E"/>
    <w:rsid w:val="0F8E55BD"/>
    <w:rsid w:val="1AB06795"/>
    <w:rsid w:val="1D3B2063"/>
    <w:rsid w:val="206D0602"/>
    <w:rsid w:val="22275D7A"/>
    <w:rsid w:val="22430342"/>
    <w:rsid w:val="25B931E9"/>
    <w:rsid w:val="2828673B"/>
    <w:rsid w:val="2A8B66A3"/>
    <w:rsid w:val="2C57797E"/>
    <w:rsid w:val="30D53BBD"/>
    <w:rsid w:val="329B152D"/>
    <w:rsid w:val="3328400E"/>
    <w:rsid w:val="39861EF9"/>
    <w:rsid w:val="39B84977"/>
    <w:rsid w:val="3A841EE9"/>
    <w:rsid w:val="3A9F1A72"/>
    <w:rsid w:val="3B7D1841"/>
    <w:rsid w:val="3C1434A8"/>
    <w:rsid w:val="3F383632"/>
    <w:rsid w:val="4052753A"/>
    <w:rsid w:val="463F5F15"/>
    <w:rsid w:val="4A4C30C5"/>
    <w:rsid w:val="4A901356"/>
    <w:rsid w:val="53516268"/>
    <w:rsid w:val="538D3CF3"/>
    <w:rsid w:val="56C47F55"/>
    <w:rsid w:val="5CF87539"/>
    <w:rsid w:val="63E33020"/>
    <w:rsid w:val="67194587"/>
    <w:rsid w:val="6BE248E5"/>
    <w:rsid w:val="6C1B496E"/>
    <w:rsid w:val="6EDB6140"/>
    <w:rsid w:val="71001F2A"/>
    <w:rsid w:val="73A85115"/>
    <w:rsid w:val="7A4824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hAnsi="Courier New"/>
      <w:szCs w:val="21"/>
    </w:rPr>
  </w:style>
  <w:style w:type="paragraph" w:styleId="3">
    <w:name w:val="header"/>
    <w:basedOn w:val="1"/>
    <w:next w:val="4"/>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lock Text"/>
    <w:basedOn w:val="1"/>
    <w:qFormat/>
    <w:uiPriority w:val="99"/>
    <w:pPr>
      <w:ind w:left="1440" w:leftChars="700" w:right="700" w:rightChars="700"/>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character" w:styleId="9">
    <w:name w:val="Hyperlink"/>
    <w:basedOn w:val="8"/>
    <w:autoRedefine/>
    <w:qFormat/>
    <w:uiPriority w:val="0"/>
    <w:rPr>
      <w:color w:val="0000FF"/>
      <w:u w:val="single"/>
    </w:rPr>
  </w:style>
  <w:style w:type="character" w:customStyle="1" w:styleId="10">
    <w:name w:val="页眉 Char"/>
    <w:basedOn w:val="8"/>
    <w:link w:val="3"/>
    <w:autoRedefine/>
    <w:qFormat/>
    <w:uiPriority w:val="99"/>
    <w:rPr>
      <w:sz w:val="18"/>
      <w:szCs w:val="18"/>
    </w:rPr>
  </w:style>
  <w:style w:type="character" w:customStyle="1" w:styleId="11">
    <w:name w:val="页脚 Char"/>
    <w:basedOn w:val="8"/>
    <w:link w:val="6"/>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autoRedefine/>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3013</Words>
  <Characters>3125</Characters>
  <Lines>51</Lines>
  <Paragraphs>14</Paragraphs>
  <TotalTime>0</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2024-06-30T13:36:08Z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4F496BD6318845549E8B46E0055578E2_13</vt:lpwstr>
  </property>
</Properties>
</file>