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F82C96">
      <w:pPr>
        <w:widowControl w:val="0"/>
        <w:spacing w:after="0" w:line="700" w:lineRule="exact"/>
        <w:jc w:val="center"/>
        <w:rPr>
          <w:rFonts w:ascii="仿宋_GB2312" w:hAnsi="仿宋_GB2312" w:eastAsia="仿宋_GB2312" w:cs="仿宋_GB2312"/>
          <w:sz w:val="32"/>
          <w:szCs w:val="32"/>
        </w:rPr>
      </w:pPr>
      <w:bookmarkStart w:id="12" w:name="_GoBack"/>
      <w:bookmarkEnd w:id="12"/>
      <w:r>
        <w:rPr>
          <w:rFonts w:hint="eastAsia" w:ascii="方正小标宋_GBK" w:hAnsi="方正小标宋_GBK" w:eastAsia="方正小标宋_GBK" w:cs="方正小标宋_GBK"/>
          <w:sz w:val="44"/>
          <w:szCs w:val="44"/>
        </w:rPr>
        <w:t>景德镇市林业发展”十五五”规划</w:t>
      </w:r>
    </w:p>
    <w:p w14:paraId="78732243">
      <w:pPr>
        <w:widowControl w:val="0"/>
        <w:spacing w:after="0" w:line="600" w:lineRule="exact"/>
        <w:jc w:val="center"/>
        <w:rPr>
          <w:rFonts w:ascii="仿宋_GB2312" w:hAnsi="仿宋_GB2312" w:eastAsia="仿宋_GB2312" w:cs="仿宋_GB2312"/>
          <w:sz w:val="32"/>
          <w:szCs w:val="32"/>
        </w:rPr>
      </w:pPr>
      <w:r>
        <w:rPr>
          <w:rFonts w:hint="eastAsia" w:ascii="楷体_GB2312" w:hAnsi="楷体_GB2312" w:eastAsia="楷体_GB2312" w:cs="楷体_GB2312"/>
          <w:sz w:val="32"/>
          <w:szCs w:val="32"/>
        </w:rPr>
        <w:t>(第一稿)</w:t>
      </w:r>
    </w:p>
    <w:p w14:paraId="651D0B8F">
      <w:pPr>
        <w:widowControl w:val="0"/>
        <w:spacing w:after="0" w:line="600" w:lineRule="exact"/>
        <w:jc w:val="both"/>
        <w:rPr>
          <w:rFonts w:ascii="仿宋_GB2312" w:hAnsi="仿宋_GB2312" w:eastAsia="仿宋_GB2312" w:cs="仿宋_GB2312"/>
          <w:sz w:val="32"/>
          <w:szCs w:val="32"/>
        </w:rPr>
      </w:pPr>
    </w:p>
    <w:p w14:paraId="59CC8BC7">
      <w:pPr>
        <w:widowControl w:val="0"/>
        <w:spacing w:after="0" w:line="600" w:lineRule="exact"/>
        <w:ind w:firstLine="640" w:firstLineChars="200"/>
        <w:jc w:val="both"/>
        <w:rPr>
          <w:rFonts w:ascii="仿宋_GB2312" w:hAnsi="仿宋_GB2312" w:eastAsia="仿宋_GB2312" w:cs="仿宋_GB2312"/>
          <w:sz w:val="32"/>
          <w:szCs w:val="32"/>
        </w:rPr>
      </w:pPr>
      <w:r>
        <w:rPr>
          <w:rFonts w:ascii="仿宋_GB2312" w:hAnsi="仿宋_GB2312" w:eastAsia="仿宋_GB2312" w:cs="仿宋_GB2312"/>
          <w:sz w:val="32"/>
          <w:szCs w:val="32"/>
        </w:rPr>
        <w:t>“十五五”时期是基本实现社会主义现代化的关键时期。林业承担着建设美丽中国、推进人与自然和谐共生现代化、维护国家生态安全的重大使命，为加快</w:t>
      </w:r>
      <w:r>
        <w:rPr>
          <w:rFonts w:hint="eastAsia" w:ascii="仿宋_GB2312" w:hAnsi="仿宋_GB2312" w:eastAsia="仿宋_GB2312" w:cs="仿宋_GB2312"/>
          <w:sz w:val="32"/>
          <w:szCs w:val="32"/>
        </w:rPr>
        <w:t>林业</w:t>
      </w:r>
      <w:r>
        <w:rPr>
          <w:rFonts w:ascii="仿宋_GB2312" w:hAnsi="仿宋_GB2312" w:eastAsia="仿宋_GB2312" w:cs="仿宋_GB2312"/>
          <w:sz w:val="32"/>
          <w:szCs w:val="32"/>
        </w:rPr>
        <w:t>高水平保护、高质量发展、高效能治理、高素质队伍的现代化林业强省建设</w:t>
      </w:r>
      <w:r>
        <w:rPr>
          <w:rFonts w:hint="eastAsia" w:ascii="仿宋_GB2312" w:hAnsi="仿宋_GB2312" w:eastAsia="仿宋_GB2312" w:cs="仿宋_GB2312"/>
          <w:sz w:val="32"/>
          <w:szCs w:val="32"/>
        </w:rPr>
        <w:t>目标的实现</w:t>
      </w:r>
      <w:r>
        <w:rPr>
          <w:rFonts w:hint="eastAsia" w:ascii="仿宋" w:hAnsi="仿宋" w:eastAsia="仿宋" w:cs="仿宋_GB2312"/>
          <w:sz w:val="32"/>
          <w:szCs w:val="32"/>
          <w:u w:val="none"/>
        </w:rPr>
        <w:t>(</w:t>
      </w:r>
      <w:r>
        <w:rPr>
          <w:rFonts w:hint="eastAsia" w:ascii="仿宋" w:hAnsi="仿宋" w:eastAsia="仿宋" w:cs="宋体"/>
          <w:sz w:val="32"/>
          <w:szCs w:val="32"/>
          <w:u w:val="none"/>
        </w:rPr>
        <w:t>四高一强</w:t>
      </w:r>
      <w:r>
        <w:rPr>
          <w:rFonts w:hint="eastAsia" w:ascii="仿宋" w:hAnsi="仿宋" w:eastAsia="仿宋" w:cs="仿宋_GB2312"/>
          <w:sz w:val="32"/>
          <w:szCs w:val="32"/>
          <w:u w:val="none"/>
        </w:rPr>
        <w:t>)</w:t>
      </w:r>
      <w:r>
        <w:rPr>
          <w:rFonts w:ascii="仿宋_GB2312" w:hAnsi="仿宋_GB2312" w:eastAsia="仿宋_GB2312" w:cs="仿宋_GB2312"/>
          <w:sz w:val="32"/>
          <w:szCs w:val="32"/>
          <w:u w:val="none"/>
        </w:rPr>
        <w:t>，</w:t>
      </w:r>
      <w:r>
        <w:rPr>
          <w:rFonts w:ascii="仿宋_GB2312" w:hAnsi="仿宋_GB2312" w:eastAsia="仿宋_GB2312" w:cs="仿宋_GB2312"/>
          <w:sz w:val="32"/>
          <w:szCs w:val="32"/>
        </w:rPr>
        <w:t>依据《江西省</w:t>
      </w:r>
      <w:r>
        <w:rPr>
          <w:rFonts w:hint="eastAsia" w:ascii="仿宋_GB2312" w:hAnsi="仿宋_GB2312" w:eastAsia="仿宋_GB2312" w:cs="仿宋_GB2312"/>
          <w:sz w:val="32"/>
          <w:szCs w:val="32"/>
        </w:rPr>
        <w:t>林业发展“十五五”</w:t>
      </w:r>
      <w:r>
        <w:rPr>
          <w:rFonts w:ascii="仿宋_GB2312" w:hAnsi="仿宋_GB2312" w:eastAsia="仿宋_GB2312" w:cs="仿宋_GB2312"/>
          <w:sz w:val="32"/>
          <w:szCs w:val="32"/>
        </w:rPr>
        <w:t>规划》，制定本规划。</w:t>
      </w:r>
    </w:p>
    <w:p w14:paraId="7991D45E">
      <w:pPr>
        <w:widowControl w:val="0"/>
        <w:spacing w:after="0" w:line="600" w:lineRule="exact"/>
        <w:ind w:firstLine="640" w:firstLineChars="200"/>
        <w:jc w:val="both"/>
        <w:rPr>
          <w:rFonts w:ascii="黑体" w:hAnsi="黑体" w:eastAsia="黑体" w:cs="黑体"/>
          <w:sz w:val="32"/>
          <w:szCs w:val="32"/>
        </w:rPr>
      </w:pPr>
      <w:bookmarkStart w:id="0" w:name="bookmark2"/>
      <w:bookmarkEnd w:id="0"/>
      <w:bookmarkStart w:id="1" w:name="bookmark1"/>
      <w:bookmarkEnd w:id="1"/>
      <w:r>
        <w:rPr>
          <w:rFonts w:ascii="黑体" w:hAnsi="黑体" w:eastAsia="黑体" w:cs="黑体"/>
          <w:sz w:val="32"/>
          <w:szCs w:val="32"/>
        </w:rPr>
        <w:t>一、总体要求</w:t>
      </w:r>
    </w:p>
    <w:p w14:paraId="548B02E4">
      <w:pPr>
        <w:widowControl w:val="0"/>
        <w:spacing w:after="0" w:line="600" w:lineRule="exact"/>
        <w:ind w:firstLine="643" w:firstLineChars="200"/>
        <w:jc w:val="both"/>
        <w:rPr>
          <w:rFonts w:ascii="仿宋_GB2312" w:hAnsi="仿宋_GB2312" w:eastAsia="仿宋_GB2312" w:cs="仿宋_GB2312"/>
          <w:sz w:val="32"/>
          <w:szCs w:val="32"/>
        </w:rPr>
      </w:pPr>
      <w:r>
        <w:rPr>
          <w:rFonts w:ascii="楷体_GB2312" w:hAnsi="楷体_GB2312" w:eastAsia="楷体_GB2312" w:cs="楷体_GB2312"/>
          <w:b/>
          <w:bCs/>
          <w:sz w:val="32"/>
          <w:szCs w:val="32"/>
        </w:rPr>
        <w:t>（一）指导思想。</w:t>
      </w:r>
      <w:r>
        <w:rPr>
          <w:rFonts w:ascii="仿宋_GB2312" w:hAnsi="仿宋_GB2312" w:eastAsia="仿宋_GB2312" w:cs="仿宋_GB2312"/>
          <w:sz w:val="32"/>
          <w:szCs w:val="32"/>
        </w:rPr>
        <w:t>以习近平新时代中国特色社会主义思想为指导，深入贯彻习近平生态文明思想和习近平总书记考察江西重要讲话精神，牢固树立和践行“绿水青山就是金山银山”理念，坚持“三绿”并举、“四库”联动、“宜林则林”，生态保护和产业发展并重，以“提质、兴业、利民”为主线，协同推进高水平保护和高质量发展，严格林草资源保护，科学推进国土绿化，着力提升森林质量，持续壮大林草产业，多措并举促进林区就业增收，坚决守牢生态安全底线，强化科技创新驱动，深化重点领域改革，</w:t>
      </w:r>
      <w:r>
        <w:rPr>
          <w:rFonts w:hint="eastAsia" w:ascii="仿宋_GB2312" w:hAnsi="仿宋_GB2312" w:eastAsia="仿宋_GB2312" w:cs="仿宋_GB2312"/>
          <w:sz w:val="32"/>
          <w:szCs w:val="32"/>
        </w:rPr>
        <w:t>助力</w:t>
      </w:r>
      <w:r>
        <w:rPr>
          <w:rFonts w:ascii="仿宋_GB2312" w:hAnsi="仿宋_GB2312" w:eastAsia="仿宋_GB2312" w:cs="仿宋_GB2312"/>
          <w:sz w:val="32"/>
          <w:szCs w:val="32"/>
        </w:rPr>
        <w:t>加快现代化林业强省建设，</w:t>
      </w:r>
      <w:r>
        <w:rPr>
          <w:rFonts w:hint="eastAsia" w:ascii="仿宋_GB2312" w:hAnsi="仿宋_GB2312" w:eastAsia="仿宋_GB2312" w:cs="仿宋_GB2312"/>
          <w:sz w:val="32"/>
          <w:szCs w:val="32"/>
        </w:rPr>
        <w:t>为积极推进国家陶瓷文化传承创新试验区建设贡献景德镇林业力量。</w:t>
      </w:r>
    </w:p>
    <w:p w14:paraId="1974BE63">
      <w:pPr>
        <w:widowControl w:val="0"/>
        <w:spacing w:after="0" w:line="600" w:lineRule="exact"/>
        <w:ind w:firstLine="643" w:firstLineChars="200"/>
        <w:jc w:val="both"/>
        <w:rPr>
          <w:rFonts w:ascii="仿宋_GB2312" w:hAnsi="仿宋_GB2312" w:eastAsia="仿宋_GB2312" w:cs="仿宋_GB2312"/>
          <w:sz w:val="32"/>
          <w:szCs w:val="32"/>
        </w:rPr>
      </w:pPr>
      <w:r>
        <w:rPr>
          <w:rFonts w:ascii="楷体_GB2312" w:hAnsi="楷体_GB2312" w:eastAsia="楷体_GB2312" w:cs="楷体_GB2312"/>
          <w:b/>
          <w:bCs/>
          <w:sz w:val="32"/>
          <w:szCs w:val="32"/>
        </w:rPr>
        <w:t>（二）目标任务。</w:t>
      </w:r>
      <w:r>
        <w:rPr>
          <w:rFonts w:ascii="仿宋_GB2312" w:hAnsi="仿宋_GB2312" w:eastAsia="仿宋_GB2312" w:cs="仿宋_GB2312"/>
          <w:sz w:val="32"/>
          <w:szCs w:val="32"/>
        </w:rPr>
        <w:t>到2030年，全</w:t>
      </w:r>
      <w:r>
        <w:rPr>
          <w:rFonts w:hint="eastAsia" w:ascii="仿宋_GB2312" w:hAnsi="仿宋_GB2312" w:eastAsia="仿宋_GB2312" w:cs="仿宋_GB2312"/>
          <w:sz w:val="32"/>
          <w:szCs w:val="32"/>
        </w:rPr>
        <w:t>市</w:t>
      </w:r>
      <w:r>
        <w:rPr>
          <w:rFonts w:ascii="仿宋_GB2312" w:hAnsi="仿宋_GB2312" w:eastAsia="仿宋_GB2312" w:cs="仿宋_GB2312"/>
          <w:sz w:val="32"/>
          <w:szCs w:val="32"/>
        </w:rPr>
        <w:t>森林、湿地、草地生态系统服务功能稳步增强，完成自然保护地整合优化，生物多样性保护持续强化，生态安全屏障更加牢固；林业产业结构显著优化，优质林产品供给能力</w:t>
      </w:r>
      <w:r>
        <w:rPr>
          <w:rFonts w:hint="eastAsia" w:ascii="仿宋_GB2312" w:hAnsi="仿宋_GB2312" w:eastAsia="仿宋_GB2312" w:cs="仿宋_GB2312"/>
          <w:sz w:val="32"/>
          <w:szCs w:val="32"/>
        </w:rPr>
        <w:t>明显</w:t>
      </w:r>
      <w:r>
        <w:rPr>
          <w:rFonts w:ascii="仿宋_GB2312" w:hAnsi="仿宋_GB2312" w:eastAsia="仿宋_GB2312" w:cs="仿宋_GB2312"/>
          <w:sz w:val="32"/>
          <w:szCs w:val="32"/>
        </w:rPr>
        <w:t>提升，生态富民成效更加彰显；林业治理体系不断健全；林业人才队伍素质持续增强。</w:t>
      </w:r>
    </w:p>
    <w:p w14:paraId="18C7D366">
      <w:pPr>
        <w:widowControl w:val="0"/>
        <w:spacing w:after="0" w:line="600" w:lineRule="exact"/>
        <w:ind w:firstLine="643" w:firstLineChars="200"/>
        <w:jc w:val="both"/>
        <w:rPr>
          <w:rFonts w:ascii="仿宋_GB2312" w:hAnsi="仿宋_GB2312" w:eastAsia="仿宋_GB2312" w:cs="仿宋_GB2312"/>
          <w:sz w:val="32"/>
          <w:szCs w:val="32"/>
        </w:rPr>
      </w:pPr>
      <w:r>
        <w:rPr>
          <w:rFonts w:ascii="仿宋_GB2312" w:hAnsi="仿宋_GB2312" w:eastAsia="仿宋_GB2312" w:cs="仿宋_GB2312"/>
          <w:b/>
          <w:bCs/>
          <w:sz w:val="32"/>
          <w:szCs w:val="32"/>
        </w:rPr>
        <w:t>聚焦高水平保护，筑牢生态安全屏障。</w:t>
      </w:r>
      <w:r>
        <w:rPr>
          <w:rFonts w:ascii="仿宋_GB2312" w:hAnsi="仿宋_GB2312" w:eastAsia="仿宋_GB2312" w:cs="仿宋_GB2312"/>
          <w:sz w:val="32"/>
          <w:szCs w:val="32"/>
        </w:rPr>
        <w:t>优化国土绿化空间格局，统筹生态保护空间，实施差别化、精细化管理。分类施策推进生态保护修复，加快构建以</w:t>
      </w:r>
      <w:r>
        <w:rPr>
          <w:rFonts w:hint="eastAsia" w:ascii="仿宋_GB2312" w:hAnsi="仿宋_GB2312" w:eastAsia="仿宋_GB2312" w:cs="仿宋_GB2312"/>
          <w:sz w:val="32"/>
          <w:szCs w:val="32"/>
        </w:rPr>
        <w:t>森林</w:t>
      </w:r>
      <w:r>
        <w:rPr>
          <w:rFonts w:ascii="仿宋_GB2312" w:hAnsi="仿宋_GB2312" w:eastAsia="仿宋_GB2312" w:cs="仿宋_GB2312"/>
          <w:sz w:val="32"/>
          <w:szCs w:val="32"/>
        </w:rPr>
        <w:t>公园为主体的自然保护地体系，加强生物多样性保护，健全林业灾害防控体系，严守林草资源安全底线。</w:t>
      </w:r>
    </w:p>
    <w:p w14:paraId="3FAF28D0">
      <w:pPr>
        <w:widowControl w:val="0"/>
        <w:spacing w:after="0" w:line="600" w:lineRule="exact"/>
        <w:ind w:firstLine="643" w:firstLineChars="200"/>
        <w:jc w:val="both"/>
        <w:rPr>
          <w:rFonts w:ascii="仿宋_GB2312" w:hAnsi="仿宋_GB2312" w:eastAsia="仿宋_GB2312" w:cs="仿宋_GB2312"/>
          <w:sz w:val="32"/>
          <w:szCs w:val="32"/>
        </w:rPr>
      </w:pPr>
      <w:r>
        <w:rPr>
          <w:rFonts w:ascii="仿宋_GB2312" w:hAnsi="仿宋_GB2312" w:eastAsia="仿宋_GB2312" w:cs="仿宋_GB2312"/>
          <w:b/>
          <w:bCs/>
          <w:sz w:val="32"/>
          <w:szCs w:val="32"/>
        </w:rPr>
        <w:t>聚焦高质量发展，提升林业经济地位。</w:t>
      </w:r>
      <w:r>
        <w:rPr>
          <w:rFonts w:ascii="仿宋_GB2312" w:hAnsi="仿宋_GB2312" w:eastAsia="仿宋_GB2312" w:cs="仿宋_GB2312"/>
          <w:sz w:val="32"/>
          <w:szCs w:val="32"/>
        </w:rPr>
        <w:t>加快构建以油茶、毛竹、林下经济为重点的“3+N”现代林业产业体系。强化要素保障，加快林业产业提质增效与转型升级，扩大产业规模，提升产业层次，健全产业体系，完善林草资源价值转化机制，推动生态优势向经济优势高效转化。</w:t>
      </w:r>
    </w:p>
    <w:p w14:paraId="7738D23E">
      <w:pPr>
        <w:widowControl w:val="0"/>
        <w:spacing w:after="0" w:line="600" w:lineRule="exact"/>
        <w:ind w:firstLine="643" w:firstLineChars="200"/>
        <w:jc w:val="both"/>
        <w:rPr>
          <w:rFonts w:ascii="仿宋_GB2312" w:hAnsi="仿宋_GB2312" w:eastAsia="仿宋_GB2312" w:cs="仿宋_GB2312"/>
          <w:sz w:val="32"/>
          <w:szCs w:val="32"/>
        </w:rPr>
      </w:pPr>
      <w:r>
        <w:rPr>
          <w:rFonts w:ascii="仿宋_GB2312" w:hAnsi="仿宋_GB2312" w:eastAsia="仿宋_GB2312" w:cs="仿宋_GB2312"/>
          <w:b/>
          <w:bCs/>
          <w:sz w:val="32"/>
          <w:szCs w:val="32"/>
        </w:rPr>
        <w:t>聚焦高效能治理，健全现代治理体系。</w:t>
      </w:r>
      <w:r>
        <w:rPr>
          <w:rFonts w:ascii="仿宋_GB2312" w:hAnsi="仿宋_GB2312" w:eastAsia="仿宋_GB2312" w:cs="仿宋_GB2312"/>
          <w:sz w:val="32"/>
          <w:szCs w:val="32"/>
        </w:rPr>
        <w:t>健全林业制度政策体系，深化集体林权制度改革，</w:t>
      </w:r>
      <w:r>
        <w:rPr>
          <w:rFonts w:hint="eastAsia" w:ascii="仿宋_GB2312" w:hAnsi="仿宋_GB2312" w:eastAsia="仿宋_GB2312" w:cs="仿宋_GB2312"/>
          <w:sz w:val="32"/>
          <w:szCs w:val="32"/>
        </w:rPr>
        <w:t>加快推进国有林场现代化建设</w:t>
      </w:r>
      <w:r>
        <w:rPr>
          <w:rFonts w:ascii="仿宋_GB2312" w:hAnsi="仿宋_GB2312" w:eastAsia="仿宋_GB2312" w:cs="仿宋_GB2312"/>
          <w:sz w:val="32"/>
          <w:szCs w:val="32"/>
        </w:rPr>
        <w:t>，提升科技赋能，加速智慧林业建设，构建系统完备、科学规范、运行高效的现代林业治理体系，提</w:t>
      </w:r>
      <w:r>
        <w:rPr>
          <w:rFonts w:hint="eastAsia" w:ascii="仿宋_GB2312" w:hAnsi="仿宋_GB2312" w:eastAsia="仿宋_GB2312" w:cs="仿宋_GB2312"/>
          <w:sz w:val="32"/>
          <w:szCs w:val="32"/>
        </w:rPr>
        <w:t>高现代化</w:t>
      </w:r>
      <w:r>
        <w:rPr>
          <w:rFonts w:ascii="仿宋_GB2312" w:hAnsi="仿宋_GB2312" w:eastAsia="仿宋_GB2312" w:cs="仿宋_GB2312"/>
          <w:sz w:val="32"/>
          <w:szCs w:val="32"/>
        </w:rPr>
        <w:t>治理水平。</w:t>
      </w:r>
    </w:p>
    <w:p w14:paraId="5914F94E">
      <w:pPr>
        <w:widowControl w:val="0"/>
        <w:spacing w:after="0" w:line="600" w:lineRule="exact"/>
        <w:ind w:firstLine="643" w:firstLineChars="200"/>
        <w:jc w:val="both"/>
        <w:rPr>
          <w:rFonts w:ascii="仿宋_GB2312" w:hAnsi="仿宋_GB2312" w:eastAsia="仿宋_GB2312" w:cs="仿宋_GB2312"/>
          <w:sz w:val="32"/>
          <w:szCs w:val="32"/>
        </w:rPr>
      </w:pPr>
      <w:r>
        <w:rPr>
          <w:rFonts w:ascii="仿宋_GB2312" w:hAnsi="仿宋_GB2312" w:eastAsia="仿宋_GB2312" w:cs="仿宋_GB2312"/>
          <w:b/>
          <w:bCs/>
          <w:sz w:val="32"/>
          <w:szCs w:val="32"/>
        </w:rPr>
        <w:t>聚焦高素质队伍，锻造林业实干铁军。</w:t>
      </w:r>
      <w:r>
        <w:rPr>
          <w:rFonts w:ascii="仿宋_GB2312" w:hAnsi="仿宋_GB2312" w:eastAsia="仿宋_GB2312" w:cs="仿宋_GB2312"/>
          <w:sz w:val="32"/>
          <w:szCs w:val="32"/>
        </w:rPr>
        <w:t>坚持党管人才原则，强化思想政治引领，筑牢干部职工思想根基。壮大科研创新团队，夯实基层技术人才队伍，锻造一支政治强、业务精、作风硬、纪律严的林业实干铁军，为林业高质量发展提供坚实人才保障。</w:t>
      </w:r>
    </w:p>
    <w:p w14:paraId="0359C275">
      <w:pPr>
        <w:widowControl w:val="0"/>
        <w:spacing w:after="0" w:line="600" w:lineRule="exact"/>
        <w:ind w:firstLine="640" w:firstLineChars="200"/>
        <w:jc w:val="both"/>
        <w:rPr>
          <w:rFonts w:ascii="仿宋_GB2312" w:hAnsi="仿宋_GB2312" w:eastAsia="仿宋_GB2312" w:cs="仿宋_GB2312"/>
          <w:sz w:val="32"/>
          <w:szCs w:val="32"/>
        </w:rPr>
      </w:pPr>
      <w:r>
        <w:rPr>
          <w:rFonts w:ascii="仿宋_GB2312" w:hAnsi="仿宋_GB2312" w:eastAsia="仿宋_GB2312" w:cs="仿宋_GB2312"/>
          <w:sz w:val="32"/>
          <w:szCs w:val="32"/>
        </w:rPr>
        <w:t>展望2035年，森林覆盖率</w:t>
      </w:r>
      <w:r>
        <w:rPr>
          <w:rFonts w:hint="eastAsia" w:ascii="仿宋_GB2312" w:hAnsi="仿宋_GB2312" w:eastAsia="仿宋_GB2312" w:cs="仿宋_GB2312"/>
          <w:sz w:val="32"/>
          <w:szCs w:val="32"/>
        </w:rPr>
        <w:t>相对</w:t>
      </w:r>
      <w:r>
        <w:rPr>
          <w:rFonts w:ascii="仿宋_GB2312" w:hAnsi="仿宋_GB2312" w:eastAsia="仿宋_GB2312" w:cs="仿宋_GB2312"/>
          <w:sz w:val="32"/>
          <w:szCs w:val="32"/>
        </w:rPr>
        <w:t>保持稳定，生态保护修复长效机制更加健全，</w:t>
      </w:r>
      <w:r>
        <w:rPr>
          <w:rFonts w:hint="eastAsia" w:ascii="仿宋_GB2312" w:hAnsi="仿宋_GB2312" w:eastAsia="仿宋_GB2312" w:cs="仿宋_GB2312"/>
          <w:sz w:val="32"/>
          <w:szCs w:val="32"/>
        </w:rPr>
        <w:t>高效融入省级（国家级）</w:t>
      </w:r>
      <w:r>
        <w:rPr>
          <w:rFonts w:ascii="仿宋_GB2312" w:hAnsi="仿宋_GB2312" w:eastAsia="仿宋_GB2312" w:cs="仿宋_GB2312"/>
          <w:sz w:val="32"/>
          <w:szCs w:val="32"/>
        </w:rPr>
        <w:t>生态系统</w:t>
      </w:r>
      <w:r>
        <w:rPr>
          <w:rFonts w:hint="eastAsia" w:ascii="仿宋_GB2312" w:hAnsi="仿宋_GB2312" w:eastAsia="仿宋_GB2312" w:cs="仿宋_GB2312"/>
          <w:sz w:val="32"/>
          <w:szCs w:val="32"/>
        </w:rPr>
        <w:t>管理平台并为社会提供高质量的服务。</w:t>
      </w:r>
      <w:r>
        <w:rPr>
          <w:rFonts w:ascii="仿宋_GB2312" w:hAnsi="仿宋_GB2312" w:eastAsia="仿宋_GB2312" w:cs="仿宋_GB2312"/>
          <w:sz w:val="32"/>
          <w:szCs w:val="32"/>
        </w:rPr>
        <w:t>以</w:t>
      </w:r>
      <w:r>
        <w:rPr>
          <w:rFonts w:hint="eastAsia" w:ascii="仿宋_GB2312" w:hAnsi="仿宋_GB2312" w:eastAsia="仿宋_GB2312" w:cs="仿宋_GB2312"/>
          <w:sz w:val="32"/>
          <w:szCs w:val="32"/>
        </w:rPr>
        <w:t>森林</w:t>
      </w:r>
      <w:r>
        <w:rPr>
          <w:rFonts w:ascii="仿宋_GB2312" w:hAnsi="仿宋_GB2312" w:eastAsia="仿宋_GB2312" w:cs="仿宋_GB2312"/>
          <w:sz w:val="32"/>
          <w:szCs w:val="32"/>
        </w:rPr>
        <w:t>公园为主体的自然保护地体系基本建成</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“绿水青山就是金山银山”转化通道更加畅通，林业治理能力现代化水平显著提升，优质生态产品供给更加充裕，林业对经济社会发展的贡献明显增强。</w:t>
      </w:r>
    </w:p>
    <w:p w14:paraId="3BFCAFED">
      <w:pPr>
        <w:widowControl w:val="0"/>
        <w:spacing w:after="0" w:line="600" w:lineRule="exact"/>
        <w:ind w:firstLine="640" w:firstLineChars="200"/>
        <w:jc w:val="both"/>
        <w:rPr>
          <w:rFonts w:ascii="仿宋_GB2312" w:hAnsi="仿宋_GB2312" w:eastAsia="仿宋_GB2312" w:cs="仿宋_GB2312"/>
          <w:sz w:val="32"/>
          <w:szCs w:val="32"/>
        </w:rPr>
      </w:pPr>
    </w:p>
    <w:p w14:paraId="7B2815C4">
      <w:pPr>
        <w:widowControl w:val="0"/>
        <w:spacing w:after="0" w:line="600" w:lineRule="exact"/>
        <w:jc w:val="center"/>
        <w:rPr>
          <w:rFonts w:ascii="黑体" w:hAnsi="黑体" w:eastAsia="黑体" w:cs="黑体"/>
          <w:sz w:val="32"/>
          <w:szCs w:val="32"/>
        </w:rPr>
      </w:pPr>
      <w:r>
        <w:rPr>
          <w:rFonts w:ascii="黑体" w:hAnsi="黑体" w:eastAsia="黑体" w:cs="黑体"/>
          <w:sz w:val="32"/>
          <w:szCs w:val="32"/>
        </w:rPr>
        <w:t>“十五五”时期林业发展主要指标</w:t>
      </w:r>
    </w:p>
    <w:p w14:paraId="3FC47084">
      <w:pPr>
        <w:widowControl w:val="0"/>
        <w:spacing w:after="0" w:line="200" w:lineRule="exact"/>
        <w:jc w:val="center"/>
        <w:rPr>
          <w:rFonts w:ascii="仿宋_GB2312" w:hAnsi="仿宋_GB2312" w:eastAsia="仿宋_GB2312" w:cs="仿宋_GB2312"/>
          <w:sz w:val="32"/>
          <w:szCs w:val="32"/>
        </w:rPr>
      </w:pPr>
    </w:p>
    <w:tbl>
      <w:tblPr>
        <w:tblStyle w:val="32"/>
        <w:tblW w:w="916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3"/>
        <w:gridCol w:w="3468"/>
        <w:gridCol w:w="1400"/>
        <w:gridCol w:w="1274"/>
        <w:gridCol w:w="1230"/>
        <w:gridCol w:w="999"/>
      </w:tblGrid>
      <w:tr w14:paraId="778AB8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jc w:val="center"/>
        </w:trPr>
        <w:tc>
          <w:tcPr>
            <w:tcW w:w="793" w:type="dxa"/>
            <w:vAlign w:val="center"/>
          </w:tcPr>
          <w:p w14:paraId="71637A52">
            <w:pPr>
              <w:widowControl w:val="0"/>
              <w:spacing w:after="0" w:line="500" w:lineRule="exact"/>
              <w:jc w:val="center"/>
              <w:rPr>
                <w:rFonts w:ascii="黑体" w:hAnsi="黑体" w:eastAsia="黑体" w:cs="黑体"/>
                <w:sz w:val="32"/>
                <w:szCs w:val="32"/>
              </w:rPr>
            </w:pPr>
            <w:r>
              <w:rPr>
                <w:rFonts w:ascii="黑体" w:hAnsi="黑体" w:eastAsia="黑体" w:cs="黑体"/>
                <w:sz w:val="32"/>
                <w:szCs w:val="32"/>
              </w:rPr>
              <w:t>序号</w:t>
            </w:r>
          </w:p>
        </w:tc>
        <w:tc>
          <w:tcPr>
            <w:tcW w:w="3468" w:type="dxa"/>
            <w:vAlign w:val="center"/>
          </w:tcPr>
          <w:p w14:paraId="06959480">
            <w:pPr>
              <w:widowControl w:val="0"/>
              <w:spacing w:after="0" w:line="500" w:lineRule="exact"/>
              <w:jc w:val="center"/>
              <w:rPr>
                <w:rFonts w:ascii="黑体" w:hAnsi="黑体" w:eastAsia="黑体" w:cs="黑体"/>
                <w:sz w:val="32"/>
                <w:szCs w:val="32"/>
              </w:rPr>
            </w:pPr>
            <w:r>
              <w:rPr>
                <w:rFonts w:ascii="黑体" w:hAnsi="黑体" w:eastAsia="黑体" w:cs="黑体"/>
                <w:sz w:val="32"/>
                <w:szCs w:val="32"/>
              </w:rPr>
              <w:t>名称</w:t>
            </w:r>
          </w:p>
        </w:tc>
        <w:tc>
          <w:tcPr>
            <w:tcW w:w="1400" w:type="dxa"/>
            <w:vAlign w:val="center"/>
          </w:tcPr>
          <w:p w14:paraId="54578080">
            <w:pPr>
              <w:widowControl w:val="0"/>
              <w:spacing w:after="0" w:line="500" w:lineRule="exact"/>
              <w:jc w:val="center"/>
              <w:rPr>
                <w:rFonts w:ascii="黑体" w:hAnsi="黑体" w:eastAsia="黑体" w:cs="黑体"/>
                <w:sz w:val="32"/>
                <w:szCs w:val="32"/>
              </w:rPr>
            </w:pPr>
            <w:r>
              <w:rPr>
                <w:rFonts w:ascii="黑体" w:hAnsi="黑体" w:eastAsia="黑体" w:cs="黑体"/>
                <w:sz w:val="32"/>
                <w:szCs w:val="32"/>
              </w:rPr>
              <w:t>单位</w:t>
            </w:r>
          </w:p>
        </w:tc>
        <w:tc>
          <w:tcPr>
            <w:tcW w:w="1274" w:type="dxa"/>
            <w:vAlign w:val="center"/>
          </w:tcPr>
          <w:p w14:paraId="5A09E90D">
            <w:pPr>
              <w:widowControl w:val="0"/>
              <w:spacing w:before="113" w:after="0" w:line="500" w:lineRule="exact"/>
              <w:ind w:left="181"/>
              <w:jc w:val="center"/>
              <w:rPr>
                <w:rFonts w:ascii="黑体" w:hAnsi="黑体" w:eastAsia="黑体" w:cs="黑体"/>
                <w:sz w:val="32"/>
                <w:szCs w:val="32"/>
              </w:rPr>
            </w:pPr>
            <w:r>
              <w:rPr>
                <w:rFonts w:ascii="黑体" w:hAnsi="黑体" w:eastAsia="黑体" w:cs="黑体"/>
                <w:sz w:val="32"/>
                <w:szCs w:val="32"/>
              </w:rPr>
              <w:t>2025年</w:t>
            </w:r>
          </w:p>
          <w:p w14:paraId="557B77B5">
            <w:pPr>
              <w:widowControl w:val="0"/>
              <w:spacing w:after="0" w:line="500" w:lineRule="exact"/>
              <w:jc w:val="center"/>
              <w:rPr>
                <w:rFonts w:ascii="黑体" w:hAnsi="黑体" w:eastAsia="黑体" w:cs="黑体"/>
                <w:sz w:val="32"/>
                <w:szCs w:val="32"/>
              </w:rPr>
            </w:pPr>
            <w:r>
              <w:rPr>
                <w:rFonts w:ascii="黑体" w:hAnsi="黑体" w:eastAsia="黑体" w:cs="黑体"/>
                <w:sz w:val="32"/>
                <w:szCs w:val="32"/>
              </w:rPr>
              <w:t>现状值</w:t>
            </w:r>
          </w:p>
        </w:tc>
        <w:tc>
          <w:tcPr>
            <w:tcW w:w="1230" w:type="dxa"/>
            <w:vAlign w:val="center"/>
          </w:tcPr>
          <w:p w14:paraId="0DC6F63D">
            <w:pPr>
              <w:widowControl w:val="0"/>
              <w:spacing w:before="113" w:after="0" w:line="500" w:lineRule="exact"/>
              <w:ind w:left="156"/>
              <w:jc w:val="center"/>
              <w:rPr>
                <w:rFonts w:ascii="黑体" w:hAnsi="黑体" w:eastAsia="黑体" w:cs="黑体"/>
                <w:sz w:val="32"/>
                <w:szCs w:val="32"/>
              </w:rPr>
            </w:pPr>
            <w:r>
              <w:rPr>
                <w:rFonts w:ascii="黑体" w:hAnsi="黑体" w:eastAsia="黑体" w:cs="黑体"/>
                <w:sz w:val="32"/>
                <w:szCs w:val="32"/>
              </w:rPr>
              <w:t>2030年</w:t>
            </w:r>
          </w:p>
          <w:p w14:paraId="0FED8DDF">
            <w:pPr>
              <w:widowControl w:val="0"/>
              <w:spacing w:after="0" w:line="500" w:lineRule="exact"/>
              <w:jc w:val="center"/>
              <w:rPr>
                <w:rFonts w:ascii="黑体" w:hAnsi="黑体" w:eastAsia="黑体" w:cs="黑体"/>
                <w:sz w:val="32"/>
                <w:szCs w:val="32"/>
              </w:rPr>
            </w:pPr>
            <w:r>
              <w:rPr>
                <w:rFonts w:ascii="黑体" w:hAnsi="黑体" w:eastAsia="黑体" w:cs="黑体"/>
                <w:sz w:val="32"/>
                <w:szCs w:val="32"/>
              </w:rPr>
              <w:t>目标值</w:t>
            </w:r>
          </w:p>
        </w:tc>
        <w:tc>
          <w:tcPr>
            <w:tcW w:w="999" w:type="dxa"/>
            <w:vAlign w:val="center"/>
          </w:tcPr>
          <w:p w14:paraId="64E46DFA">
            <w:pPr>
              <w:widowControl w:val="0"/>
              <w:spacing w:after="0" w:line="500" w:lineRule="exact"/>
              <w:jc w:val="center"/>
              <w:rPr>
                <w:rFonts w:ascii="黑体" w:hAnsi="黑体" w:eastAsia="黑体" w:cs="黑体"/>
                <w:sz w:val="32"/>
                <w:szCs w:val="32"/>
              </w:rPr>
            </w:pPr>
            <w:r>
              <w:rPr>
                <w:rFonts w:ascii="黑体" w:hAnsi="黑体" w:eastAsia="黑体" w:cs="黑体"/>
                <w:sz w:val="32"/>
                <w:szCs w:val="32"/>
              </w:rPr>
              <w:t>属性</w:t>
            </w:r>
          </w:p>
        </w:tc>
      </w:tr>
      <w:tr w14:paraId="50DC45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793" w:type="dxa"/>
            <w:vAlign w:val="center"/>
          </w:tcPr>
          <w:p w14:paraId="3F068A69">
            <w:pPr>
              <w:widowControl w:val="0"/>
              <w:spacing w:after="0" w:line="54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1</w:t>
            </w:r>
          </w:p>
        </w:tc>
        <w:tc>
          <w:tcPr>
            <w:tcW w:w="3468" w:type="dxa"/>
            <w:vAlign w:val="center"/>
          </w:tcPr>
          <w:p w14:paraId="5351A408">
            <w:pPr>
              <w:widowControl w:val="0"/>
              <w:spacing w:after="0" w:line="54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森林覆盖率</w:t>
            </w:r>
          </w:p>
        </w:tc>
        <w:tc>
          <w:tcPr>
            <w:tcW w:w="1400" w:type="dxa"/>
            <w:vAlign w:val="center"/>
          </w:tcPr>
          <w:p w14:paraId="02E87396">
            <w:pPr>
              <w:widowControl w:val="0"/>
              <w:spacing w:after="0" w:line="54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w:t>
            </w:r>
          </w:p>
        </w:tc>
        <w:tc>
          <w:tcPr>
            <w:tcW w:w="1274" w:type="dxa"/>
            <w:vAlign w:val="center"/>
          </w:tcPr>
          <w:p w14:paraId="4788F5B5">
            <w:pPr>
              <w:widowControl w:val="0"/>
              <w:spacing w:after="0" w:line="54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63.99</w:t>
            </w:r>
          </w:p>
        </w:tc>
        <w:tc>
          <w:tcPr>
            <w:tcW w:w="1230" w:type="dxa"/>
            <w:vAlign w:val="center"/>
          </w:tcPr>
          <w:p w14:paraId="540648FE">
            <w:pPr>
              <w:widowControl w:val="0"/>
              <w:spacing w:after="0" w:line="54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64.04</w:t>
            </w:r>
          </w:p>
        </w:tc>
        <w:tc>
          <w:tcPr>
            <w:tcW w:w="999" w:type="dxa"/>
            <w:vAlign w:val="center"/>
          </w:tcPr>
          <w:p w14:paraId="0F2CC66D">
            <w:pPr>
              <w:widowControl w:val="0"/>
              <w:spacing w:after="0" w:line="54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约束性</w:t>
            </w:r>
          </w:p>
        </w:tc>
      </w:tr>
      <w:tr w14:paraId="79049C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793" w:type="dxa"/>
            <w:vAlign w:val="center"/>
          </w:tcPr>
          <w:p w14:paraId="6F6EFCE1">
            <w:pPr>
              <w:widowControl w:val="0"/>
              <w:spacing w:after="0" w:line="54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2</w:t>
            </w:r>
          </w:p>
        </w:tc>
        <w:tc>
          <w:tcPr>
            <w:tcW w:w="3468" w:type="dxa"/>
            <w:vAlign w:val="center"/>
          </w:tcPr>
          <w:p w14:paraId="0869C94E">
            <w:pPr>
              <w:widowControl w:val="0"/>
              <w:spacing w:after="0" w:line="54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森林蓄积量</w:t>
            </w:r>
          </w:p>
        </w:tc>
        <w:tc>
          <w:tcPr>
            <w:tcW w:w="1400" w:type="dxa"/>
            <w:vAlign w:val="center"/>
          </w:tcPr>
          <w:p w14:paraId="0E76F8A0">
            <w:pPr>
              <w:widowControl w:val="0"/>
              <w:spacing w:after="0" w:line="54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万</w:t>
            </w:r>
            <w:r>
              <w:rPr>
                <w:rFonts w:ascii="仿宋_GB2312" w:hAnsi="仿宋_GB2312" w:eastAsia="仿宋_GB2312" w:cs="仿宋_GB2312"/>
                <w:sz w:val="32"/>
                <w:szCs w:val="32"/>
              </w:rPr>
              <w:t>立方米</w:t>
            </w:r>
          </w:p>
        </w:tc>
        <w:tc>
          <w:tcPr>
            <w:tcW w:w="1274" w:type="dxa"/>
            <w:vAlign w:val="center"/>
          </w:tcPr>
          <w:p w14:paraId="22D3084F">
            <w:pPr>
              <w:widowControl w:val="0"/>
              <w:spacing w:after="0" w:line="54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3156.7</w:t>
            </w:r>
          </w:p>
        </w:tc>
        <w:tc>
          <w:tcPr>
            <w:tcW w:w="1230" w:type="dxa"/>
            <w:vAlign w:val="center"/>
          </w:tcPr>
          <w:p w14:paraId="18A1C8F6">
            <w:pPr>
              <w:widowControl w:val="0"/>
              <w:spacing w:after="0" w:line="54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3548.4</w:t>
            </w:r>
          </w:p>
        </w:tc>
        <w:tc>
          <w:tcPr>
            <w:tcW w:w="999" w:type="dxa"/>
            <w:vAlign w:val="center"/>
          </w:tcPr>
          <w:p w14:paraId="02093EE3">
            <w:pPr>
              <w:widowControl w:val="0"/>
              <w:spacing w:after="0" w:line="54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约束性</w:t>
            </w:r>
          </w:p>
        </w:tc>
      </w:tr>
      <w:tr w14:paraId="4FFF00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jc w:val="center"/>
        </w:trPr>
        <w:tc>
          <w:tcPr>
            <w:tcW w:w="793" w:type="dxa"/>
            <w:vAlign w:val="center"/>
          </w:tcPr>
          <w:p w14:paraId="34A6014F">
            <w:pPr>
              <w:widowControl w:val="0"/>
              <w:spacing w:after="0" w:line="54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3</w:t>
            </w:r>
          </w:p>
        </w:tc>
        <w:tc>
          <w:tcPr>
            <w:tcW w:w="3468" w:type="dxa"/>
            <w:vAlign w:val="center"/>
          </w:tcPr>
          <w:p w14:paraId="2D43E064">
            <w:pPr>
              <w:widowControl w:val="0"/>
              <w:spacing w:after="0" w:line="54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乔木林单位面积蓄积量</w:t>
            </w:r>
          </w:p>
        </w:tc>
        <w:tc>
          <w:tcPr>
            <w:tcW w:w="1400" w:type="dxa"/>
            <w:vAlign w:val="center"/>
          </w:tcPr>
          <w:p w14:paraId="51001676">
            <w:pPr>
              <w:widowControl w:val="0"/>
              <w:spacing w:after="0" w:line="540" w:lineRule="exact"/>
              <w:ind w:left="123"/>
              <w:jc w:val="center"/>
              <w:rPr>
                <w:rFonts w:ascii="仿宋_GB2312" w:hAnsi="仿宋_GB2312" w:eastAsia="仿宋_GB2312" w:cs="仿宋_GB2312"/>
                <w:sz w:val="32"/>
                <w:szCs w:val="32"/>
              </w:rPr>
            </w:pPr>
            <w:r>
              <w:rPr>
                <w:rFonts w:ascii="仿宋_GB2312" w:hAnsi="仿宋_GB2312" w:eastAsia="仿宋_GB2312" w:cs="仿宋_GB2312"/>
                <w:sz w:val="32"/>
                <w:szCs w:val="32"/>
              </w:rPr>
              <w:t>立方米/公顷</w:t>
            </w:r>
          </w:p>
        </w:tc>
        <w:tc>
          <w:tcPr>
            <w:tcW w:w="1274" w:type="dxa"/>
            <w:vAlign w:val="center"/>
          </w:tcPr>
          <w:p w14:paraId="04638AA2">
            <w:pPr>
              <w:widowControl w:val="0"/>
              <w:spacing w:after="0" w:line="54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101.62</w:t>
            </w:r>
          </w:p>
        </w:tc>
        <w:tc>
          <w:tcPr>
            <w:tcW w:w="1230" w:type="dxa"/>
            <w:vAlign w:val="center"/>
          </w:tcPr>
          <w:p w14:paraId="1FA1B640">
            <w:pPr>
              <w:widowControl w:val="0"/>
              <w:spacing w:after="0" w:line="54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113</w:t>
            </w:r>
          </w:p>
        </w:tc>
        <w:tc>
          <w:tcPr>
            <w:tcW w:w="999" w:type="dxa"/>
            <w:vAlign w:val="center"/>
          </w:tcPr>
          <w:p w14:paraId="1AF4A9A8">
            <w:pPr>
              <w:widowControl w:val="0"/>
              <w:spacing w:after="0" w:line="54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预期性</w:t>
            </w:r>
          </w:p>
        </w:tc>
      </w:tr>
      <w:tr w14:paraId="5ED99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793" w:type="dxa"/>
            <w:vAlign w:val="center"/>
          </w:tcPr>
          <w:p w14:paraId="283304D6">
            <w:pPr>
              <w:widowControl w:val="0"/>
              <w:spacing w:after="0" w:line="54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4</w:t>
            </w:r>
          </w:p>
        </w:tc>
        <w:tc>
          <w:tcPr>
            <w:tcW w:w="3468" w:type="dxa"/>
            <w:vAlign w:val="center"/>
          </w:tcPr>
          <w:p w14:paraId="37BB37D4">
            <w:pPr>
              <w:widowControl w:val="0"/>
              <w:spacing w:after="0" w:line="540" w:lineRule="exact"/>
              <w:ind w:firstLine="0"/>
              <w:jc w:val="left"/>
              <w:rPr>
                <w:rFonts w:ascii="仿宋_GB2312" w:hAnsi="仿宋_GB2312" w:eastAsia="仿宋_GB2312" w:cs="仿宋_GB2312"/>
                <w:sz w:val="32"/>
                <w:szCs w:val="32"/>
              </w:rPr>
            </w:pPr>
            <w:r>
              <w:rPr>
                <w:rFonts w:ascii="仿宋_GB2312" w:hAnsi="仿宋_GB2312" w:eastAsia="仿宋_GB2312" w:cs="仿宋_GB2312"/>
                <w:sz w:val="32"/>
                <w:szCs w:val="32"/>
              </w:rPr>
              <w:t>自然保护地面积占比</w:t>
            </w:r>
          </w:p>
        </w:tc>
        <w:tc>
          <w:tcPr>
            <w:tcW w:w="1400" w:type="dxa"/>
            <w:vAlign w:val="center"/>
          </w:tcPr>
          <w:p w14:paraId="712FA1A7">
            <w:pPr>
              <w:widowControl w:val="0"/>
              <w:spacing w:after="0" w:line="54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w:t>
            </w:r>
          </w:p>
        </w:tc>
        <w:tc>
          <w:tcPr>
            <w:tcW w:w="1274" w:type="dxa"/>
            <w:vAlign w:val="center"/>
          </w:tcPr>
          <w:p w14:paraId="5C352E38">
            <w:pPr>
              <w:widowControl w:val="0"/>
              <w:spacing w:after="0" w:line="54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15.28</w:t>
            </w:r>
            <w:r>
              <w:rPr>
                <w:rFonts w:ascii="仿宋_GB2312" w:hAnsi="仿宋_GB2312" w:eastAsia="仿宋_GB2312" w:cs="仿宋_GB2312"/>
                <w:sz w:val="32"/>
                <w:szCs w:val="32"/>
              </w:rPr>
              <w:commentReference w:id="0"/>
            </w:r>
          </w:p>
        </w:tc>
        <w:tc>
          <w:tcPr>
            <w:tcW w:w="1230" w:type="dxa"/>
            <w:vAlign w:val="center"/>
          </w:tcPr>
          <w:p w14:paraId="137BDCAB">
            <w:pPr>
              <w:widowControl w:val="0"/>
              <w:spacing w:after="0" w:line="54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14.22</w:t>
            </w:r>
          </w:p>
        </w:tc>
        <w:tc>
          <w:tcPr>
            <w:tcW w:w="999" w:type="dxa"/>
            <w:vAlign w:val="center"/>
          </w:tcPr>
          <w:p w14:paraId="2820BA3B">
            <w:pPr>
              <w:widowControl w:val="0"/>
              <w:spacing w:after="0" w:line="540" w:lineRule="exact"/>
              <w:ind w:firstLine="0"/>
              <w:jc w:val="left"/>
              <w:rPr>
                <w:rFonts w:ascii="仿宋_GB2312" w:hAnsi="仿宋_GB2312" w:eastAsia="仿宋_GB2312" w:cs="仿宋_GB2312"/>
                <w:sz w:val="32"/>
                <w:szCs w:val="32"/>
              </w:rPr>
            </w:pPr>
            <w:r>
              <w:rPr>
                <w:rFonts w:ascii="仿宋_GB2312" w:hAnsi="仿宋_GB2312" w:eastAsia="仿宋_GB2312" w:cs="仿宋_GB2312"/>
                <w:sz w:val="32"/>
                <w:szCs w:val="32"/>
              </w:rPr>
              <w:t>预期性</w:t>
            </w:r>
          </w:p>
        </w:tc>
      </w:tr>
      <w:tr w14:paraId="3225AB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793" w:type="dxa"/>
            <w:vAlign w:val="center"/>
          </w:tcPr>
          <w:p w14:paraId="27DBF43B">
            <w:pPr>
              <w:widowControl w:val="0"/>
              <w:spacing w:after="0" w:line="54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5</w:t>
            </w:r>
          </w:p>
        </w:tc>
        <w:tc>
          <w:tcPr>
            <w:tcW w:w="3468" w:type="dxa"/>
            <w:vAlign w:val="center"/>
          </w:tcPr>
          <w:p w14:paraId="121F7502">
            <w:pPr>
              <w:widowControl w:val="0"/>
              <w:spacing w:after="0" w:line="54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森林火灾受害率</w:t>
            </w:r>
          </w:p>
        </w:tc>
        <w:tc>
          <w:tcPr>
            <w:tcW w:w="1400" w:type="dxa"/>
            <w:vAlign w:val="center"/>
          </w:tcPr>
          <w:p w14:paraId="61CA5B96">
            <w:pPr>
              <w:widowControl w:val="0"/>
              <w:spacing w:after="0" w:line="54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w:t>
            </w:r>
          </w:p>
        </w:tc>
        <w:tc>
          <w:tcPr>
            <w:tcW w:w="1274" w:type="dxa"/>
            <w:vAlign w:val="center"/>
          </w:tcPr>
          <w:p w14:paraId="5CBA18A8">
            <w:pPr>
              <w:widowControl w:val="0"/>
              <w:spacing w:after="0" w:line="540" w:lineRule="exact"/>
              <w:ind w:left="296"/>
              <w:jc w:val="center"/>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0.09</w:t>
            </w:r>
          </w:p>
        </w:tc>
        <w:tc>
          <w:tcPr>
            <w:tcW w:w="1230" w:type="dxa"/>
            <w:vAlign w:val="center"/>
          </w:tcPr>
          <w:p w14:paraId="4FB15D4F">
            <w:pPr>
              <w:widowControl w:val="0"/>
              <w:spacing w:after="0" w:line="540" w:lineRule="exact"/>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0.7</w:t>
            </w:r>
          </w:p>
        </w:tc>
        <w:tc>
          <w:tcPr>
            <w:tcW w:w="999" w:type="dxa"/>
            <w:vAlign w:val="center"/>
          </w:tcPr>
          <w:p w14:paraId="749F3EEC">
            <w:pPr>
              <w:widowControl w:val="0"/>
              <w:spacing w:after="0" w:line="54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预期性</w:t>
            </w:r>
          </w:p>
        </w:tc>
      </w:tr>
      <w:tr w14:paraId="59595D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jc w:val="center"/>
        </w:trPr>
        <w:tc>
          <w:tcPr>
            <w:tcW w:w="793" w:type="dxa"/>
            <w:vAlign w:val="center"/>
          </w:tcPr>
          <w:p w14:paraId="38B2C090">
            <w:pPr>
              <w:widowControl w:val="0"/>
              <w:spacing w:after="0" w:line="54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6</w:t>
            </w:r>
          </w:p>
        </w:tc>
        <w:tc>
          <w:tcPr>
            <w:tcW w:w="3468" w:type="dxa"/>
            <w:vAlign w:val="center"/>
          </w:tcPr>
          <w:p w14:paraId="48CCF04D">
            <w:pPr>
              <w:widowControl w:val="0"/>
              <w:spacing w:after="0" w:line="54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林草产业总产值</w:t>
            </w:r>
          </w:p>
        </w:tc>
        <w:tc>
          <w:tcPr>
            <w:tcW w:w="1400" w:type="dxa"/>
            <w:vAlign w:val="center"/>
          </w:tcPr>
          <w:p w14:paraId="7E2C0448">
            <w:pPr>
              <w:widowControl w:val="0"/>
              <w:spacing w:after="0" w:line="54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亿元</w:t>
            </w:r>
          </w:p>
        </w:tc>
        <w:tc>
          <w:tcPr>
            <w:tcW w:w="1274" w:type="dxa"/>
            <w:vAlign w:val="center"/>
          </w:tcPr>
          <w:p w14:paraId="1F8366A9">
            <w:pPr>
              <w:widowControl w:val="0"/>
              <w:spacing w:after="0" w:line="540" w:lineRule="exact"/>
              <w:ind w:left="330"/>
              <w:jc w:val="center"/>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149.9</w:t>
            </w:r>
          </w:p>
        </w:tc>
        <w:tc>
          <w:tcPr>
            <w:tcW w:w="1230" w:type="dxa"/>
            <w:vAlign w:val="center"/>
          </w:tcPr>
          <w:p w14:paraId="29DD95DD">
            <w:pPr>
              <w:widowControl w:val="0"/>
              <w:spacing w:after="0" w:line="540" w:lineRule="exact"/>
              <w:jc w:val="center"/>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229</w:t>
            </w:r>
          </w:p>
        </w:tc>
        <w:tc>
          <w:tcPr>
            <w:tcW w:w="999" w:type="dxa"/>
            <w:vAlign w:val="center"/>
          </w:tcPr>
          <w:p w14:paraId="7984EA01">
            <w:pPr>
              <w:widowControl w:val="0"/>
              <w:spacing w:after="0" w:line="54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预期性</w:t>
            </w:r>
          </w:p>
        </w:tc>
      </w:tr>
    </w:tbl>
    <w:p w14:paraId="7EA50099">
      <w:pPr>
        <w:widowControl w:val="0"/>
        <w:adjustRightInd/>
        <w:snapToGrid/>
        <w:spacing w:after="0" w:line="600" w:lineRule="exact"/>
        <w:ind w:firstLine="640" w:firstLineChars="200"/>
        <w:jc w:val="both"/>
        <w:rPr>
          <w:rFonts w:hint="eastAsia" w:ascii="黑体" w:hAnsi="黑体" w:eastAsia="黑体" w:cs="黑体"/>
          <w:sz w:val="32"/>
          <w:szCs w:val="32"/>
        </w:rPr>
      </w:pPr>
    </w:p>
    <w:p w14:paraId="5C5D79E5">
      <w:pPr>
        <w:widowControl w:val="0"/>
        <w:adjustRightInd/>
        <w:snapToGrid/>
        <w:spacing w:after="0" w:line="600" w:lineRule="exact"/>
        <w:ind w:firstLine="640" w:firstLineChars="200"/>
        <w:jc w:val="both"/>
        <w:rPr>
          <w:rFonts w:ascii="黑体" w:hAnsi="黑体" w:eastAsia="黑体" w:cs="黑体"/>
          <w:sz w:val="32"/>
          <w:szCs w:val="32"/>
        </w:rPr>
      </w:pPr>
    </w:p>
    <w:p w14:paraId="3FFBFF53">
      <w:pPr>
        <w:widowControl w:val="0"/>
        <w:adjustRightInd/>
        <w:snapToGrid/>
        <w:spacing w:after="0" w:line="600" w:lineRule="exact"/>
        <w:ind w:firstLine="640" w:firstLineChars="200"/>
        <w:jc w:val="both"/>
        <w:rPr>
          <w:rFonts w:ascii="黑体" w:hAnsi="黑体" w:eastAsia="黑体" w:cs="黑体"/>
          <w:sz w:val="32"/>
          <w:szCs w:val="32"/>
        </w:rPr>
      </w:pPr>
      <w:r>
        <w:rPr>
          <w:rFonts w:hint="eastAsia" w:ascii="黑体" w:hAnsi="黑体" w:eastAsia="黑体" w:cs="黑体"/>
          <w:sz w:val="32"/>
          <w:szCs w:val="32"/>
        </w:rPr>
        <w:t>二、科学推进国土绿化</w:t>
      </w:r>
    </w:p>
    <w:p w14:paraId="678D7212">
      <w:pPr>
        <w:widowControl w:val="0"/>
        <w:spacing w:after="0" w:line="600" w:lineRule="exact"/>
        <w:ind w:firstLine="643" w:firstLineChars="200"/>
        <w:jc w:val="both"/>
        <w:rPr>
          <w:rFonts w:ascii="仿宋_GB2312" w:hAnsi="仿宋_GB2312" w:eastAsia="仿宋_GB2312" w:cs="仿宋_GB2312"/>
          <w:sz w:val="32"/>
          <w:szCs w:val="32"/>
        </w:rPr>
      </w:pPr>
      <w:r>
        <w:rPr>
          <w:rFonts w:ascii="楷体_GB2312" w:hAnsi="楷体_GB2312" w:eastAsia="楷体_GB2312" w:cs="楷体_GB2312"/>
          <w:b/>
          <w:bCs/>
          <w:sz w:val="32"/>
          <w:szCs w:val="32"/>
        </w:rPr>
        <w:t>（一）科学规划国土绿化空间。</w:t>
      </w:r>
      <w:r>
        <w:rPr>
          <w:rFonts w:ascii="仿宋_GB2312" w:hAnsi="仿宋_GB2312" w:eastAsia="仿宋_GB2312" w:cs="仿宋_GB2312"/>
          <w:sz w:val="32"/>
          <w:szCs w:val="32"/>
        </w:rPr>
        <w:t>落实主体功能区战略，立足生态本底、资源禀赋与自然演替规律，科学统筹国土绿化空间布局，合理确定宜林宜草空间和森林提质增效空间，分区分类明确生态修复、商品林集约经营和森林美化彩化提升等重点区域。在生态脆弱和重要生态功能区，科学推进人工造林、森林质量提升，筑牢生态安全屏障。在立地优良、集中连片适宜区，集约发展短轮伐期工业原料林、特色经济林、乡土珍贵用材林和大径级用材林等，提高木材供给能力。在通道、河湖岸线、城乡周边及重点旅游景区等区域，因地制宜建设“彩色森林”，优化树种结构和季相配置，提升森</w:t>
      </w:r>
      <w:bookmarkStart w:id="2" w:name="bookmark6"/>
      <w:bookmarkEnd w:id="2"/>
      <w:r>
        <w:rPr>
          <w:rFonts w:ascii="仿宋_GB2312" w:hAnsi="仿宋_GB2312" w:eastAsia="仿宋_GB2312" w:cs="仿宋_GB2312"/>
          <w:sz w:val="32"/>
          <w:szCs w:val="32"/>
        </w:rPr>
        <w:t>林景观品质，美化城乡人居环境。</w:t>
      </w:r>
    </w:p>
    <w:p w14:paraId="31F8BC8E">
      <w:pPr>
        <w:widowControl w:val="0"/>
        <w:spacing w:after="0" w:line="600" w:lineRule="exact"/>
        <w:ind w:firstLine="643" w:firstLineChars="200"/>
        <w:jc w:val="both"/>
        <w:rPr>
          <w:rFonts w:ascii="仿宋_GB2312" w:hAnsi="仿宋_GB2312" w:eastAsia="仿宋_GB2312" w:cs="仿宋_GB2312"/>
          <w:sz w:val="32"/>
          <w:szCs w:val="32"/>
        </w:rPr>
      </w:pPr>
      <w:r>
        <w:rPr>
          <w:rFonts w:ascii="楷体_GB2312" w:hAnsi="楷体_GB2312" w:eastAsia="楷体_GB2312" w:cs="楷体_GB2312"/>
          <w:b/>
          <w:bCs/>
          <w:sz w:val="32"/>
          <w:szCs w:val="32"/>
        </w:rPr>
        <w:t>（二）精准提升森林质量。</w:t>
      </w:r>
      <w:r>
        <w:rPr>
          <w:rFonts w:ascii="仿宋_GB2312" w:hAnsi="仿宋_GB2312" w:eastAsia="仿宋_GB2312" w:cs="仿宋_GB2312"/>
          <w:sz w:val="32"/>
          <w:szCs w:val="32"/>
        </w:rPr>
        <w:t>开展林质林相提升五年行动，持续提升森林生态系统质量、稳定性和固碳增汇能力。推进森林可持续经营，加快构建以森林经营方案为核心的现代化森林经营管理体系。分区分类建设一批不同经营模式可持续经营</w:t>
      </w:r>
      <w:r>
        <w:rPr>
          <w:rFonts w:hint="eastAsia" w:ascii="仿宋_GB2312" w:hAnsi="仿宋_GB2312" w:eastAsia="仿宋_GB2312" w:cs="仿宋_GB2312"/>
          <w:sz w:val="32"/>
          <w:szCs w:val="32"/>
        </w:rPr>
        <w:t>示范林或示范基地</w:t>
      </w:r>
      <w:r>
        <w:rPr>
          <w:rFonts w:ascii="仿宋_GB2312" w:hAnsi="仿宋_GB2312" w:eastAsia="仿宋_GB2312" w:cs="仿宋_GB2312"/>
          <w:sz w:val="32"/>
          <w:szCs w:val="32"/>
        </w:rPr>
        <w:t>。以森林抚育和促进更新为重点，有序推进公益林和天然林保育修复，全面推进人工商品林集约经</w:t>
      </w:r>
      <w:bookmarkStart w:id="3" w:name="bookmark7"/>
      <w:bookmarkEnd w:id="3"/>
      <w:r>
        <w:rPr>
          <w:rFonts w:ascii="仿宋_GB2312" w:hAnsi="仿宋_GB2312" w:eastAsia="仿宋_GB2312" w:cs="仿宋_GB2312"/>
          <w:sz w:val="32"/>
          <w:szCs w:val="32"/>
        </w:rPr>
        <w:t>营，科学优化林分结构。</w:t>
      </w:r>
    </w:p>
    <w:p w14:paraId="00057C24">
      <w:pPr>
        <w:widowControl w:val="0"/>
        <w:adjustRightInd/>
        <w:snapToGrid/>
        <w:spacing w:after="0" w:line="600" w:lineRule="exact"/>
        <w:ind w:firstLine="643" w:firstLineChars="200"/>
        <w:jc w:val="both"/>
        <w:rPr>
          <w:rFonts w:ascii="仿宋_GB2312" w:hAnsi="仿宋_GB2312" w:eastAsia="仿宋_GB2312" w:cs="仿宋_GB2312"/>
          <w:sz w:val="32"/>
          <w:szCs w:val="32"/>
        </w:rPr>
      </w:pPr>
      <w:r>
        <w:rPr>
          <w:rFonts w:ascii="楷体_GB2312" w:hAnsi="楷体_GB2312" w:eastAsia="楷体_GB2312" w:cs="楷体_GB2312"/>
          <w:b/>
          <w:bCs/>
          <w:sz w:val="32"/>
          <w:szCs w:val="32"/>
        </w:rPr>
        <w:t>（三）加快发展现代林业种业。</w:t>
      </w:r>
      <w:r>
        <w:rPr>
          <w:rFonts w:ascii="仿宋_GB2312" w:hAnsi="仿宋_GB2312" w:eastAsia="仿宋_GB2312" w:cs="仿宋_GB2312"/>
          <w:sz w:val="32"/>
          <w:szCs w:val="32"/>
        </w:rPr>
        <w:t>加强林草种质资源保护，系统开展收集、保存和评价，</w:t>
      </w:r>
      <w:r>
        <w:rPr>
          <w:rFonts w:hint="eastAsia" w:ascii="仿宋_GB2312" w:hAnsi="仿宋_GB2312" w:eastAsia="仿宋_GB2312" w:cs="仿宋_GB2312"/>
          <w:sz w:val="32"/>
          <w:szCs w:val="32"/>
        </w:rPr>
        <w:t>持续</w:t>
      </w:r>
      <w:r>
        <w:rPr>
          <w:rFonts w:ascii="仿宋_GB2312" w:hAnsi="仿宋_GB2312" w:eastAsia="仿宋_GB2312" w:cs="仿宋_GB2312"/>
          <w:sz w:val="32"/>
          <w:szCs w:val="32"/>
        </w:rPr>
        <w:t>推进</w:t>
      </w:r>
      <w:r>
        <w:rPr>
          <w:rFonts w:hint="eastAsia" w:ascii="仿宋_GB2312" w:hAnsi="仿宋_GB2312" w:eastAsia="仿宋_GB2312" w:cs="仿宋_GB2312"/>
          <w:sz w:val="32"/>
          <w:szCs w:val="32"/>
        </w:rPr>
        <w:t>本土</w:t>
      </w:r>
      <w:r>
        <w:rPr>
          <w:rFonts w:ascii="仿宋_GB2312" w:hAnsi="仿宋_GB2312" w:eastAsia="仿宋_GB2312" w:cs="仿宋_GB2312"/>
          <w:sz w:val="32"/>
          <w:szCs w:val="32"/>
        </w:rPr>
        <w:t>优良</w:t>
      </w:r>
      <w:r>
        <w:rPr>
          <w:rFonts w:hint="eastAsia" w:ascii="仿宋_GB2312" w:hAnsi="仿宋_GB2312" w:eastAsia="仿宋_GB2312" w:cs="仿宋_GB2312"/>
          <w:sz w:val="32"/>
          <w:szCs w:val="32"/>
        </w:rPr>
        <w:t>树种</w:t>
      </w:r>
      <w:r>
        <w:rPr>
          <w:rFonts w:ascii="仿宋_GB2312" w:hAnsi="仿宋_GB2312" w:eastAsia="仿宋_GB2312" w:cs="仿宋_GB2312"/>
          <w:sz w:val="32"/>
          <w:szCs w:val="32"/>
        </w:rPr>
        <w:t>种质资源</w:t>
      </w:r>
      <w:r>
        <w:rPr>
          <w:rFonts w:hint="eastAsia" w:ascii="仿宋_GB2312" w:hAnsi="仿宋_GB2312" w:eastAsia="仿宋_GB2312" w:cs="仿宋_GB2312"/>
          <w:sz w:val="32"/>
          <w:szCs w:val="32"/>
        </w:rPr>
        <w:t>库</w:t>
      </w:r>
      <w:r>
        <w:rPr>
          <w:rFonts w:ascii="仿宋_GB2312" w:hAnsi="仿宋_GB2312" w:eastAsia="仿宋_GB2312" w:cs="仿宋_GB2312"/>
          <w:sz w:val="32"/>
          <w:szCs w:val="32"/>
        </w:rPr>
        <w:t>建设。建设速生用材、乡土珍贵、木本粮油及高抗性等树种种子园、采穗圃，规范省级重点保障性苗圃建设。推广容器育苗、提高良种</w:t>
      </w:r>
      <w:r>
        <w:rPr>
          <w:rFonts w:hint="eastAsia" w:ascii="仿宋_GB2312" w:hAnsi="仿宋_GB2312" w:eastAsia="仿宋_GB2312" w:cs="仿宋_GB2312"/>
          <w:sz w:val="32"/>
          <w:szCs w:val="32"/>
        </w:rPr>
        <w:t>良法</w:t>
      </w:r>
      <w:r>
        <w:rPr>
          <w:rFonts w:ascii="仿宋_GB2312" w:hAnsi="仿宋_GB2312" w:eastAsia="仿宋_GB2312" w:cs="仿宋_GB2312"/>
          <w:sz w:val="32"/>
          <w:szCs w:val="32"/>
        </w:rPr>
        <w:t>使用率。加强种苗市场监管，打击假冒伪劣种苗等违法行为。</w:t>
      </w:r>
    </w:p>
    <w:p w14:paraId="4B79E586">
      <w:pPr>
        <w:widowControl w:val="0"/>
        <w:spacing w:after="0" w:line="600" w:lineRule="exact"/>
        <w:ind w:firstLine="640" w:firstLineChars="200"/>
        <w:jc w:val="both"/>
        <w:rPr>
          <w:rFonts w:ascii="仿宋_GB2312" w:hAnsi="仿宋_GB2312" w:eastAsia="仿宋_GB2312" w:cs="仿宋_GB2312"/>
          <w:sz w:val="32"/>
          <w:szCs w:val="32"/>
        </w:rPr>
      </w:pPr>
      <w:r>
        <w:rPr>
          <w:rFonts w:ascii="黑体" w:hAnsi="黑体" w:eastAsia="黑体" w:cs="黑体"/>
          <w:sz w:val="32"/>
          <w:szCs w:val="32"/>
        </w:rPr>
        <w:t>三、强化林草资源保护</w:t>
      </w:r>
    </w:p>
    <w:p w14:paraId="0C301760">
      <w:pPr>
        <w:widowControl w:val="0"/>
        <w:spacing w:after="0" w:line="600" w:lineRule="exact"/>
        <w:ind w:firstLine="643" w:firstLineChars="200"/>
        <w:jc w:val="both"/>
        <w:rPr>
          <w:rFonts w:ascii="仿宋_GB2312" w:hAnsi="仿宋_GB2312" w:eastAsia="仿宋_GB2312" w:cs="仿宋_GB2312"/>
          <w:sz w:val="32"/>
          <w:szCs w:val="32"/>
        </w:rPr>
      </w:pPr>
      <w:r>
        <w:rPr>
          <w:rFonts w:ascii="楷体_GB2312" w:hAnsi="楷体_GB2312" w:eastAsia="楷体_GB2312" w:cs="楷体_GB2312"/>
          <w:b/>
          <w:bCs/>
          <w:sz w:val="32"/>
          <w:szCs w:val="32"/>
        </w:rPr>
        <w:t>（一）推进自然保护地体系建设。</w:t>
      </w:r>
      <w:r>
        <w:rPr>
          <w:rFonts w:hint="eastAsia" w:ascii="仿宋_GB2312" w:hAnsi="仿宋_GB2312" w:eastAsia="仿宋_GB2312" w:cs="仿宋_GB2312"/>
          <w:sz w:val="32"/>
          <w:szCs w:val="32"/>
        </w:rPr>
        <w:t>持续做好以森林公园为主体的保护地建设，</w:t>
      </w:r>
      <w:r>
        <w:rPr>
          <w:rFonts w:ascii="仿宋_GB2312" w:hAnsi="仿宋_GB2312" w:eastAsia="仿宋_GB2312" w:cs="仿宋_GB2312"/>
          <w:sz w:val="32"/>
          <w:szCs w:val="32"/>
        </w:rPr>
        <w:t>规范自然保护区管理，推进标准化、智慧化建设，完善管护巡护、科研监测、防灾减灾等设施，开展勘界立标、资源本底调查和生物多样性监测，建立长效管理机制，推动</w:t>
      </w:r>
      <w:r>
        <w:rPr>
          <w:rFonts w:hint="eastAsia" w:ascii="仿宋_GB2312" w:hAnsi="仿宋_GB2312" w:eastAsia="仿宋_GB2312" w:cs="仿宋_GB2312"/>
          <w:sz w:val="32"/>
          <w:szCs w:val="32"/>
        </w:rPr>
        <w:t>试点</w:t>
      </w:r>
      <w:r>
        <w:rPr>
          <w:rFonts w:ascii="仿宋_GB2312" w:hAnsi="仿宋_GB2312" w:eastAsia="仿宋_GB2312" w:cs="仿宋_GB2312"/>
          <w:sz w:val="32"/>
          <w:szCs w:val="32"/>
        </w:rPr>
        <w:t>社</w:t>
      </w:r>
      <w:r>
        <w:rPr>
          <w:rFonts w:hint="eastAsia" w:ascii="仿宋_GB2312" w:hAnsi="仿宋_GB2312" w:eastAsia="仿宋_GB2312" w:cs="仿宋_GB2312"/>
          <w:sz w:val="32"/>
          <w:szCs w:val="32"/>
        </w:rPr>
        <w:t>会</w:t>
      </w:r>
      <w:r>
        <w:rPr>
          <w:rFonts w:ascii="仿宋_GB2312" w:hAnsi="仿宋_GB2312" w:eastAsia="仿宋_GB2312" w:cs="仿宋_GB2312"/>
          <w:sz w:val="32"/>
          <w:szCs w:val="32"/>
        </w:rPr>
        <w:t>共建和生态补偿创新，定期发布林业生物多样性保护公报和监测</w:t>
      </w:r>
      <w:r>
        <w:rPr>
          <w:rFonts w:hint="eastAsia" w:ascii="仿宋_GB2312" w:hAnsi="仿宋_GB2312" w:eastAsia="仿宋_GB2312" w:cs="仿宋_GB2312"/>
          <w:sz w:val="32"/>
          <w:szCs w:val="32"/>
        </w:rPr>
        <w:t>动态</w:t>
      </w:r>
      <w:r>
        <w:rPr>
          <w:rFonts w:ascii="仿宋_GB2312" w:hAnsi="仿宋_GB2312" w:eastAsia="仿宋_GB2312" w:cs="仿宋_GB2312"/>
          <w:sz w:val="32"/>
          <w:szCs w:val="32"/>
        </w:rPr>
        <w:t>。优化自然公园功能，健全管理机构和队伍，加强科普宣传、自然教育与生态体验服务设施建设。</w:t>
      </w:r>
      <w:commentRangeStart w:id="1"/>
      <w:r>
        <w:rPr>
          <w:rFonts w:ascii="仿宋_GB2312" w:hAnsi="仿宋_GB2312" w:eastAsia="仿宋_GB2312" w:cs="仿宋_GB2312"/>
          <w:sz w:val="32"/>
          <w:szCs w:val="32"/>
        </w:rPr>
        <w:t>推动</w:t>
      </w:r>
      <w:r>
        <w:rPr>
          <w:rFonts w:hint="eastAsia" w:ascii="仿宋_GB2312" w:hAnsi="仿宋_GB2312" w:eastAsia="仿宋_GB2312" w:cs="仿宋_GB2312"/>
          <w:sz w:val="32"/>
          <w:szCs w:val="32"/>
        </w:rPr>
        <w:t>境内各</w:t>
      </w:r>
      <w:r>
        <w:rPr>
          <w:rFonts w:ascii="仿宋_GB2312" w:hAnsi="仿宋_GB2312" w:eastAsia="仿宋_GB2312" w:cs="仿宋_GB2312"/>
          <w:sz w:val="32"/>
          <w:szCs w:val="32"/>
        </w:rPr>
        <w:t>自然保护地</w:t>
      </w:r>
      <w:r>
        <w:rPr>
          <w:rFonts w:hint="eastAsia" w:ascii="仿宋_GB2312" w:hAnsi="仿宋_GB2312" w:eastAsia="仿宋_GB2312" w:cs="仿宋_GB2312"/>
          <w:sz w:val="32"/>
          <w:szCs w:val="32"/>
        </w:rPr>
        <w:t>的</w:t>
      </w:r>
      <w:r>
        <w:rPr>
          <w:rFonts w:ascii="仿宋_GB2312" w:hAnsi="仿宋_GB2312" w:eastAsia="仿宋_GB2312" w:cs="仿宋_GB2312"/>
          <w:sz w:val="32"/>
          <w:szCs w:val="32"/>
        </w:rPr>
        <w:t>协同保护。</w:t>
      </w:r>
      <w:commentRangeEnd w:id="1"/>
      <w:r>
        <w:rPr>
          <w:rFonts w:ascii="仿宋_GB2312" w:hAnsi="仿宋_GB2312" w:eastAsia="仿宋_GB2312" w:cs="仿宋_GB2312"/>
          <w:sz w:val="32"/>
          <w:szCs w:val="32"/>
        </w:rPr>
        <w:commentReference w:id="1"/>
      </w:r>
    </w:p>
    <w:p w14:paraId="6A226B92">
      <w:pPr>
        <w:widowControl w:val="0"/>
        <w:spacing w:after="0" w:line="600" w:lineRule="exact"/>
        <w:ind w:firstLine="643" w:firstLineChars="200"/>
        <w:jc w:val="both"/>
        <w:rPr>
          <w:rFonts w:ascii="仿宋_GB2312" w:hAnsi="仿宋_GB2312" w:eastAsia="仿宋_GB2312" w:cs="仿宋_GB2312"/>
          <w:sz w:val="32"/>
          <w:szCs w:val="32"/>
        </w:rPr>
      </w:pPr>
      <w:r>
        <w:rPr>
          <w:rFonts w:ascii="楷体_GB2312" w:hAnsi="楷体_GB2312" w:eastAsia="楷体_GB2312" w:cs="楷体_GB2312"/>
          <w:b/>
          <w:bCs/>
          <w:sz w:val="32"/>
          <w:szCs w:val="32"/>
        </w:rPr>
        <w:t>（二）强化林草湿资源保护。</w:t>
      </w:r>
      <w:r>
        <w:rPr>
          <w:rFonts w:ascii="仿宋_GB2312" w:hAnsi="仿宋_GB2312" w:eastAsia="仿宋_GB2312" w:cs="仿宋_GB2312"/>
          <w:sz w:val="32"/>
          <w:szCs w:val="32"/>
        </w:rPr>
        <w:t>加强森林资源精细管理，实施林地分级分类管制。推</w:t>
      </w:r>
      <w:r>
        <w:rPr>
          <w:rFonts w:hint="eastAsia" w:ascii="仿宋_GB2312" w:hAnsi="仿宋_GB2312" w:eastAsia="仿宋_GB2312" w:cs="仿宋_GB2312"/>
          <w:sz w:val="32"/>
          <w:szCs w:val="32"/>
        </w:rPr>
        <w:t>动</w:t>
      </w:r>
      <w:r>
        <w:rPr>
          <w:rFonts w:ascii="仿宋_GB2312" w:hAnsi="仿宋_GB2312" w:eastAsia="仿宋_GB2312" w:cs="仿宋_GB2312"/>
          <w:sz w:val="32"/>
          <w:szCs w:val="32"/>
        </w:rPr>
        <w:t>天然林与公益林</w:t>
      </w:r>
      <w:r>
        <w:rPr>
          <w:rFonts w:hint="eastAsia" w:ascii="仿宋_GB2312" w:hAnsi="仿宋_GB2312" w:eastAsia="仿宋_GB2312" w:cs="仿宋_GB2312"/>
          <w:sz w:val="32"/>
          <w:szCs w:val="32"/>
        </w:rPr>
        <w:t>管理及补偿机制</w:t>
      </w:r>
      <w:r>
        <w:rPr>
          <w:rFonts w:ascii="仿宋_GB2312" w:hAnsi="仿宋_GB2312" w:eastAsia="仿宋_GB2312" w:cs="仿宋_GB2312"/>
          <w:sz w:val="32"/>
          <w:szCs w:val="32"/>
        </w:rPr>
        <w:t>并轨，推进天然林精准落界，实施分区管控。持续开展公益林优化调整。开展森林资源问题图斑起底整治，健全林草湿荒一体化监测体系，强化林地定额管理和重大项目要素保障。强化湿地保护修复，实行湿地面积总量管控，推进</w:t>
      </w:r>
      <w:r>
        <w:rPr>
          <w:rFonts w:hint="eastAsia" w:ascii="仿宋_GB2312" w:hAnsi="仿宋_GB2312" w:eastAsia="仿宋_GB2312" w:cs="仿宋_GB2312"/>
          <w:sz w:val="32"/>
          <w:szCs w:val="32"/>
        </w:rPr>
        <w:t>乐安河、昌江河</w:t>
      </w:r>
      <w:r>
        <w:rPr>
          <w:rFonts w:ascii="仿宋_GB2312" w:hAnsi="仿宋_GB2312" w:eastAsia="仿宋_GB2312" w:cs="仿宋_GB2312"/>
          <w:sz w:val="32"/>
          <w:szCs w:val="32"/>
        </w:rPr>
        <w:t>流域湿地及越冬水鸟栖息地修复，加强</w:t>
      </w:r>
      <w:r>
        <w:rPr>
          <w:rFonts w:hint="eastAsia" w:ascii="仿宋_GB2312" w:hAnsi="仿宋_GB2312" w:eastAsia="仿宋_GB2312" w:cs="仿宋_GB2312"/>
          <w:sz w:val="32"/>
          <w:szCs w:val="32"/>
        </w:rPr>
        <w:t>玉田湖</w:t>
      </w:r>
      <w:r>
        <w:rPr>
          <w:rFonts w:ascii="仿宋_GB2312" w:hAnsi="仿宋_GB2312" w:eastAsia="仿宋_GB2312" w:cs="仿宋_GB2312"/>
          <w:sz w:val="32"/>
          <w:szCs w:val="32"/>
        </w:rPr>
        <w:t>湿地公园和</w:t>
      </w:r>
      <w:r>
        <w:rPr>
          <w:rFonts w:hint="eastAsia" w:ascii="仿宋_GB2312" w:hAnsi="仿宋_GB2312" w:eastAsia="仿宋_GB2312" w:cs="仿宋_GB2312"/>
          <w:sz w:val="32"/>
          <w:szCs w:val="32"/>
        </w:rPr>
        <w:t>共库等</w:t>
      </w:r>
      <w:r>
        <w:rPr>
          <w:rFonts w:ascii="仿宋_GB2312" w:hAnsi="仿宋_GB2312" w:eastAsia="仿宋_GB2312" w:cs="仿宋_GB2312"/>
          <w:sz w:val="32"/>
          <w:szCs w:val="32"/>
        </w:rPr>
        <w:t>重要湿地监管，常态化开展“铁拳净湖”等专项行动，严厉打击破坏湿地资源违法行为。</w:t>
      </w:r>
    </w:p>
    <w:p w14:paraId="0F6DBA5E">
      <w:pPr>
        <w:widowControl w:val="0"/>
        <w:spacing w:after="0" w:line="600" w:lineRule="exact"/>
        <w:ind w:firstLine="643" w:firstLineChars="200"/>
        <w:jc w:val="both"/>
        <w:rPr>
          <w:rFonts w:ascii="仿宋_GB2312" w:hAnsi="仿宋_GB2312" w:eastAsia="仿宋_GB2312" w:cs="仿宋_GB2312"/>
          <w:sz w:val="32"/>
          <w:szCs w:val="32"/>
        </w:rPr>
      </w:pPr>
      <w:r>
        <w:rPr>
          <w:rFonts w:ascii="楷体_GB2312" w:hAnsi="楷体_GB2312" w:eastAsia="楷体_GB2312" w:cs="楷体_GB2312"/>
          <w:b/>
          <w:bCs/>
          <w:sz w:val="32"/>
          <w:szCs w:val="32"/>
        </w:rPr>
        <w:t>（三）提升野生动植物保护水平。</w:t>
      </w:r>
      <w:r>
        <w:rPr>
          <w:rFonts w:ascii="仿宋_GB2312" w:hAnsi="仿宋_GB2312" w:eastAsia="仿宋_GB2312" w:cs="仿宋_GB2312"/>
          <w:sz w:val="32"/>
          <w:szCs w:val="32"/>
        </w:rPr>
        <w:t>开展鸟类等野生动物保护三年攻坚战，科学收容救护、致害防控，加强舆情监测。强化珍危植物种质资源收集保存和迁地保护。持续开展珍稀野生植物拯救保护，加强科普宣传与可持续利用。开展第三次古树名木资源普查，推进古树名木复壮技术攻关，对濒危衰弱古树实施“一树一策”抢救，</w:t>
      </w:r>
      <w:r>
        <w:rPr>
          <w:rFonts w:hint="eastAsia" w:ascii="仿宋_GB2312" w:hAnsi="仿宋_GB2312" w:eastAsia="仿宋_GB2312" w:cs="仿宋_GB2312"/>
          <w:sz w:val="32"/>
          <w:szCs w:val="32"/>
        </w:rPr>
        <w:t>推动</w:t>
      </w:r>
      <w:r>
        <w:rPr>
          <w:rFonts w:ascii="仿宋_GB2312" w:hAnsi="仿宋_GB2312" w:eastAsia="仿宋_GB2312" w:cs="仿宋_GB2312"/>
          <w:sz w:val="32"/>
          <w:szCs w:val="32"/>
        </w:rPr>
        <w:t>建设乡村古</w:t>
      </w:r>
      <w:bookmarkStart w:id="4" w:name="bookmark12"/>
      <w:bookmarkEnd w:id="4"/>
      <w:r>
        <w:rPr>
          <w:rFonts w:ascii="仿宋_GB2312" w:hAnsi="仿宋_GB2312" w:eastAsia="仿宋_GB2312" w:cs="仿宋_GB2312"/>
          <w:sz w:val="32"/>
          <w:szCs w:val="32"/>
        </w:rPr>
        <w:t>树园。</w:t>
      </w:r>
    </w:p>
    <w:p w14:paraId="760D5D22">
      <w:pPr>
        <w:widowControl w:val="0"/>
        <w:adjustRightInd/>
        <w:snapToGrid/>
        <w:spacing w:after="0" w:line="600" w:lineRule="exact"/>
        <w:ind w:firstLine="643" w:firstLineChars="200"/>
        <w:jc w:val="both"/>
        <w:rPr>
          <w:rFonts w:ascii="仿宋_GB2312" w:hAnsi="仿宋_GB2312" w:eastAsia="仿宋_GB2312" w:cs="仿宋_GB2312"/>
          <w:sz w:val="32"/>
          <w:szCs w:val="32"/>
        </w:rPr>
      </w:pPr>
      <w:r>
        <w:rPr>
          <w:rFonts w:ascii="楷体_GB2312" w:hAnsi="楷体_GB2312" w:eastAsia="楷体_GB2312" w:cs="楷体_GB2312"/>
          <w:b/>
          <w:bCs/>
          <w:sz w:val="32"/>
          <w:szCs w:val="32"/>
        </w:rPr>
        <w:t>（四）守牢林业生态安全底线。</w:t>
      </w:r>
      <w:r>
        <w:rPr>
          <w:rFonts w:ascii="仿宋_GB2312" w:hAnsi="仿宋_GB2312" w:eastAsia="仿宋_GB2312" w:cs="仿宋_GB2312"/>
          <w:sz w:val="32"/>
          <w:szCs w:val="32"/>
        </w:rPr>
        <w:t>深化“林长制+森林防火”网格化管理，严查野外违规用火。加快构建“空天地”一体化森林火险监测预警体系。建设以木荷、油茶等耐火树种为主防火阻隔带，同步推进防火道路、以水灭火设施及宣教设施建设。加强森林防火物资储备和队伍建设。</w:t>
      </w:r>
      <w:r>
        <w:rPr>
          <w:rFonts w:hint="eastAsia" w:ascii="仿宋_GB2312" w:hAnsi="仿宋_GB2312" w:eastAsia="仿宋_GB2312" w:cs="仿宋_GB2312"/>
          <w:sz w:val="32"/>
          <w:szCs w:val="32"/>
        </w:rPr>
        <w:t>开展“十五五”松材线虫病疫情防控攻坚行动，对有害生物防治采取分区治理、分类施策</w:t>
      </w:r>
      <w:r>
        <w:rPr>
          <w:rFonts w:ascii="仿宋_GB2312" w:hAnsi="仿宋_GB2312" w:eastAsia="仿宋_GB2312" w:cs="仿宋_GB2312"/>
          <w:sz w:val="32"/>
          <w:szCs w:val="32"/>
        </w:rPr>
        <w:t>，提升林业有害生物监测预警、检疫御灾、防治减灾和应急救灾能力，推行无公害防治技术，加强外来入侵物种防控，遏制疫情扩散。加强陆生野生动物疫源疫病监测防控，优化监测站点布局，健全预警制度体系，提升主动监测预警和应急处置能力。</w:t>
      </w:r>
    </w:p>
    <w:p w14:paraId="11F39C08">
      <w:pPr>
        <w:widowControl w:val="0"/>
        <w:spacing w:after="0" w:line="600" w:lineRule="exact"/>
        <w:ind w:firstLine="640" w:firstLineChars="200"/>
        <w:jc w:val="both"/>
        <w:rPr>
          <w:rFonts w:ascii="仿宋_GB2312" w:hAnsi="仿宋_GB2312" w:eastAsia="仿宋_GB2312" w:cs="仿宋_GB2312"/>
          <w:sz w:val="32"/>
          <w:szCs w:val="32"/>
        </w:rPr>
      </w:pPr>
      <w:r>
        <w:rPr>
          <w:rFonts w:ascii="黑体" w:hAnsi="黑体" w:eastAsia="黑体" w:cs="黑体"/>
          <w:sz w:val="32"/>
          <w:szCs w:val="32"/>
        </w:rPr>
        <w:t>四、壮大现代林业产业</w:t>
      </w:r>
    </w:p>
    <w:p w14:paraId="01269C8C">
      <w:pPr>
        <w:widowControl w:val="0"/>
        <w:spacing w:after="0" w:line="600" w:lineRule="exact"/>
        <w:ind w:firstLine="643" w:firstLineChars="200"/>
        <w:jc w:val="both"/>
        <w:rPr>
          <w:rFonts w:ascii="仿宋_GB2312" w:hAnsi="仿宋_GB2312" w:eastAsia="仿宋_GB2312" w:cs="仿宋_GB2312"/>
          <w:sz w:val="32"/>
          <w:szCs w:val="32"/>
        </w:rPr>
      </w:pPr>
      <w:r>
        <w:rPr>
          <w:rFonts w:ascii="楷体_GB2312" w:hAnsi="楷体_GB2312" w:eastAsia="楷体_GB2312" w:cs="楷体_GB2312"/>
          <w:b/>
          <w:bCs/>
          <w:sz w:val="32"/>
          <w:szCs w:val="32"/>
        </w:rPr>
        <w:t>（一）建设高标准森林食品示范基地。</w:t>
      </w:r>
      <w:r>
        <w:rPr>
          <w:rFonts w:ascii="仿宋_GB2312" w:hAnsi="仿宋_GB2312" w:eastAsia="仿宋_GB2312" w:cs="仿宋_GB2312"/>
          <w:sz w:val="32"/>
          <w:szCs w:val="32"/>
        </w:rPr>
        <w:t>稳定发展油茶等木本粮油，提高木本粮油产能。推进油茶标准化、集约化、机械化经营，加强现有高产油茶林抚育管理和低产低效林改造提升，大力推广水肥一体化设施，加强良种良法良机集成示范应用，持续提升油茶产能。推进竹笋产业转型升级发展，分类经营笋用、材用、笋材两用林，改造低产低效竹林，修复退化林</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推动竹笋食品化。推进林下经济集群发展，合理利用森林资源，发展林</w:t>
      </w:r>
      <w:r>
        <w:rPr>
          <w:rFonts w:hint="eastAsia" w:ascii="仿宋_GB2312" w:hAnsi="仿宋_GB2312" w:eastAsia="仿宋_GB2312" w:cs="仿宋_GB2312"/>
          <w:sz w:val="32"/>
          <w:szCs w:val="32"/>
        </w:rPr>
        <w:t>下种养业（养猪、养鸡、养蜂、香菇、木耳、竹荪等）</w:t>
      </w:r>
      <w:r>
        <w:rPr>
          <w:rFonts w:ascii="仿宋_GB2312" w:hAnsi="仿宋_GB2312" w:eastAsia="仿宋_GB2312" w:cs="仿宋_GB2312"/>
          <w:sz w:val="32"/>
          <w:szCs w:val="32"/>
        </w:rPr>
        <w:t>。主推道地药材、药食同源药材标准化种植。</w:t>
      </w:r>
      <w:r>
        <w:rPr>
          <w:rFonts w:hint="eastAsia" w:ascii="仿宋_GB2312" w:hAnsi="仿宋_GB2312" w:eastAsia="仿宋_GB2312" w:cs="仿宋_GB2312"/>
          <w:sz w:val="32"/>
          <w:szCs w:val="32"/>
        </w:rPr>
        <w:t>鼓励</w:t>
      </w:r>
      <w:r>
        <w:rPr>
          <w:rFonts w:ascii="仿宋_GB2312" w:hAnsi="仿宋_GB2312" w:eastAsia="仿宋_GB2312" w:cs="仿宋_GB2312"/>
          <w:sz w:val="32"/>
          <w:szCs w:val="32"/>
        </w:rPr>
        <w:t>“一县一品”</w:t>
      </w:r>
      <w:r>
        <w:rPr>
          <w:rFonts w:hint="eastAsia" w:ascii="仿宋_GB2312" w:hAnsi="仿宋_GB2312" w:eastAsia="仿宋_GB2312" w:cs="仿宋_GB2312"/>
          <w:sz w:val="32"/>
          <w:szCs w:val="32"/>
        </w:rPr>
        <w:t>，科学引导产业规模发展</w:t>
      </w:r>
      <w:r>
        <w:rPr>
          <w:rFonts w:ascii="仿宋_GB2312" w:hAnsi="仿宋_GB2312" w:eastAsia="仿宋_GB2312" w:cs="仿宋_GB2312"/>
          <w:sz w:val="32"/>
          <w:szCs w:val="32"/>
        </w:rPr>
        <w:t>。推进林下产品采集加工转型，引育初加工经营主体，建设初加工储存基地。鼓励加工企业向产地延伸产业链，推</w:t>
      </w:r>
      <w:bookmarkStart w:id="5" w:name="bookmark15"/>
      <w:bookmarkEnd w:id="5"/>
      <w:r>
        <w:rPr>
          <w:rFonts w:ascii="仿宋_GB2312" w:hAnsi="仿宋_GB2312" w:eastAsia="仿宋_GB2312" w:cs="仿宋_GB2312"/>
          <w:sz w:val="32"/>
          <w:szCs w:val="32"/>
        </w:rPr>
        <w:t>动产业集群发展。</w:t>
      </w:r>
    </w:p>
    <w:p w14:paraId="0FA1E52A">
      <w:pPr>
        <w:widowControl w:val="0"/>
        <w:spacing w:after="0" w:line="600" w:lineRule="exact"/>
        <w:ind w:firstLine="643" w:firstLineChars="200"/>
        <w:jc w:val="both"/>
        <w:rPr>
          <w:rFonts w:ascii="仿宋_GB2312" w:hAnsi="仿宋_GB2312" w:eastAsia="仿宋_GB2312" w:cs="仿宋_GB2312"/>
          <w:sz w:val="32"/>
          <w:szCs w:val="32"/>
        </w:rPr>
      </w:pPr>
      <w:r>
        <w:rPr>
          <w:rFonts w:ascii="楷体_GB2312" w:hAnsi="楷体_GB2312" w:eastAsia="楷体_GB2312" w:cs="楷体_GB2312"/>
          <w:b/>
          <w:bCs/>
          <w:sz w:val="32"/>
          <w:szCs w:val="32"/>
        </w:rPr>
        <w:t>（二）优化提升林木培育和林产加工业。</w:t>
      </w:r>
      <w:r>
        <w:rPr>
          <w:rFonts w:ascii="仿宋_GB2312" w:hAnsi="仿宋_GB2312" w:eastAsia="仿宋_GB2312" w:cs="仿宋_GB2312"/>
          <w:sz w:val="32"/>
          <w:szCs w:val="32"/>
        </w:rPr>
        <w:t>优化提升木竹培育，集约经营商品林，建设工业原料林、珍贵大径材及丰产竹林。以</w:t>
      </w:r>
      <w:r>
        <w:rPr>
          <w:rFonts w:hint="eastAsia" w:ascii="仿宋_GB2312" w:hAnsi="仿宋_GB2312" w:eastAsia="仿宋_GB2312" w:cs="仿宋_GB2312"/>
          <w:sz w:val="32"/>
          <w:szCs w:val="32"/>
        </w:rPr>
        <w:t>市场</w:t>
      </w:r>
      <w:r>
        <w:rPr>
          <w:rFonts w:ascii="仿宋_GB2312" w:hAnsi="仿宋_GB2312" w:eastAsia="仿宋_GB2312" w:cs="仿宋_GB2312"/>
          <w:sz w:val="32"/>
          <w:szCs w:val="32"/>
        </w:rPr>
        <w:t>需求为导向，定向培育速生和珍贵用材林。高质量推进国家储备林建设，规模化、集约化培育以楠木、栎类等珍贵乔木树种及杉木等大径级用材为主</w:t>
      </w:r>
      <w:r>
        <w:rPr>
          <w:rFonts w:hint="eastAsia" w:ascii="仿宋_GB2312" w:hAnsi="仿宋_GB2312" w:eastAsia="仿宋_GB2312" w:cs="仿宋_GB2312"/>
          <w:sz w:val="32"/>
          <w:szCs w:val="32"/>
        </w:rPr>
        <w:t>的</w:t>
      </w:r>
      <w:r>
        <w:rPr>
          <w:rFonts w:ascii="仿宋_GB2312" w:hAnsi="仿宋_GB2312" w:eastAsia="仿宋_GB2312" w:cs="仿宋_GB2312"/>
          <w:sz w:val="32"/>
          <w:szCs w:val="32"/>
        </w:rPr>
        <w:t>储备林，推广</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国储林+”模式，建设示范基地，增强木材保障。做精苗木花卉产业，培育乡土、珍贵、彩化树种及新品种，建设精品基地。推进木竹等加工产业快速发展，推进智能化转型，推广无醛人造板、智能装备及清洁安全生产技术。大力开展“以竹代塑”行动，做</w:t>
      </w:r>
      <w:r>
        <w:rPr>
          <w:rFonts w:hint="eastAsia" w:ascii="仿宋_GB2312" w:hAnsi="仿宋_GB2312" w:eastAsia="仿宋_GB2312" w:cs="仿宋_GB2312"/>
          <w:sz w:val="32"/>
          <w:szCs w:val="32"/>
        </w:rPr>
        <w:t>大做</w:t>
      </w:r>
      <w:r>
        <w:rPr>
          <w:rFonts w:ascii="仿宋_GB2312" w:hAnsi="仿宋_GB2312" w:eastAsia="仿宋_GB2312" w:cs="仿宋_GB2312"/>
          <w:sz w:val="32"/>
          <w:szCs w:val="32"/>
        </w:rPr>
        <w:t>强竹产业。</w:t>
      </w:r>
    </w:p>
    <w:p w14:paraId="2CE2D54A">
      <w:pPr>
        <w:widowControl w:val="0"/>
        <w:spacing w:after="0" w:line="600" w:lineRule="exact"/>
        <w:ind w:firstLine="643" w:firstLineChars="200"/>
        <w:jc w:val="both"/>
        <w:rPr>
          <w:rFonts w:ascii="仿宋_GB2312" w:hAnsi="仿宋_GB2312" w:eastAsia="仿宋_GB2312" w:cs="仿宋_GB2312"/>
          <w:sz w:val="32"/>
          <w:szCs w:val="32"/>
        </w:rPr>
      </w:pPr>
      <w:r>
        <w:rPr>
          <w:rFonts w:ascii="楷体_GB2312" w:hAnsi="楷体_GB2312" w:eastAsia="楷体_GB2312" w:cs="楷体_GB2312"/>
          <w:b/>
          <w:bCs/>
          <w:sz w:val="32"/>
          <w:szCs w:val="32"/>
        </w:rPr>
        <w:t>（三）积极培育林业新产业新业态。</w:t>
      </w:r>
      <w:r>
        <w:rPr>
          <w:rFonts w:ascii="仿宋_GB2312" w:hAnsi="仿宋_GB2312" w:eastAsia="仿宋_GB2312" w:cs="仿宋_GB2312"/>
          <w:sz w:val="32"/>
          <w:szCs w:val="32"/>
        </w:rPr>
        <w:t>挖掘林业多元功能，推动要素创新性配置，培育发展“森林康养+生态游憩+自然教育”、观鸟经济等新业态。融合数字经济、人工智能，发展低空经济。推进森林步道建设。依法发展药用、观赏动植物。利用森林、湿地、草地、野生动植物、自然遗产等资源，开发生态文化产品。结合“世界野生动植物日”“爱鸟周”“植树节”等节点开展生态法治宣传，深入开展“百县千乡”宣传行动。推进林业融媒体中心建设，讲好林业故事。建设“乡村古树园”“乡村森林公园”</w:t>
      </w:r>
      <w:bookmarkStart w:id="6" w:name="bookmark17"/>
      <w:bookmarkEnd w:id="6"/>
      <w:r>
        <w:rPr>
          <w:rFonts w:ascii="仿宋_GB2312" w:hAnsi="仿宋_GB2312" w:eastAsia="仿宋_GB2312" w:cs="仿宋_GB2312"/>
          <w:sz w:val="32"/>
          <w:szCs w:val="32"/>
        </w:rPr>
        <w:t>等普惠空间。依托自然保护地完善自然教育设施。</w:t>
      </w:r>
    </w:p>
    <w:p w14:paraId="45D9A4A8">
      <w:pPr>
        <w:widowControl w:val="0"/>
        <w:spacing w:after="0" w:line="600" w:lineRule="exact"/>
        <w:ind w:firstLine="643" w:firstLineChars="200"/>
        <w:jc w:val="both"/>
        <w:rPr>
          <w:rFonts w:ascii="仿宋_GB2312" w:hAnsi="仿宋_GB2312" w:eastAsia="仿宋_GB2312" w:cs="仿宋_GB2312"/>
          <w:sz w:val="32"/>
          <w:szCs w:val="32"/>
        </w:rPr>
      </w:pPr>
      <w:r>
        <w:rPr>
          <w:rFonts w:ascii="楷体_GB2312" w:hAnsi="楷体_GB2312" w:eastAsia="楷体_GB2312" w:cs="楷体_GB2312"/>
          <w:b/>
          <w:bCs/>
          <w:sz w:val="32"/>
          <w:szCs w:val="32"/>
        </w:rPr>
        <w:t>（四）构建现代林业经营服务体系。</w:t>
      </w:r>
      <w:r>
        <w:rPr>
          <w:rFonts w:ascii="仿宋_GB2312" w:hAnsi="仿宋_GB2312" w:eastAsia="仿宋_GB2312" w:cs="仿宋_GB2312"/>
          <w:sz w:val="32"/>
          <w:szCs w:val="32"/>
        </w:rPr>
        <w:t>培育壮大龙头企业，重点培育油茶、竹类、</w:t>
      </w:r>
      <w:r>
        <w:rPr>
          <w:rFonts w:hint="eastAsia" w:ascii="仿宋_GB2312" w:hAnsi="仿宋_GB2312" w:eastAsia="仿宋_GB2312" w:cs="仿宋_GB2312"/>
          <w:sz w:val="32"/>
          <w:szCs w:val="32"/>
        </w:rPr>
        <w:t>森林药材种植与加工</w:t>
      </w:r>
      <w:r>
        <w:rPr>
          <w:rFonts w:ascii="仿宋_GB2312" w:hAnsi="仿宋_GB2312" w:eastAsia="仿宋_GB2312" w:cs="仿宋_GB2312"/>
          <w:sz w:val="32"/>
          <w:szCs w:val="32"/>
        </w:rPr>
        <w:t>等产业领军型龙头企业。鼓励龙头企业通过“公司+合作社+农户+基地”等模式带动林农增收致富。加快林业特色品牌培育，分区建设一批林产品仓储物流、交易及初加工服务中心。</w:t>
      </w:r>
      <w:r>
        <w:rPr>
          <w:rFonts w:hint="eastAsia" w:ascii="仿宋_GB2312" w:hAnsi="仿宋_GB2312" w:eastAsia="仿宋_GB2312" w:cs="仿宋_GB2312"/>
          <w:sz w:val="32"/>
          <w:szCs w:val="32"/>
        </w:rPr>
        <w:t>助力</w:t>
      </w:r>
      <w:r>
        <w:rPr>
          <w:rFonts w:ascii="仿宋_GB2312" w:hAnsi="仿宋_GB2312" w:eastAsia="仿宋_GB2312" w:cs="仿宋_GB2312"/>
          <w:sz w:val="32"/>
          <w:szCs w:val="32"/>
        </w:rPr>
        <w:t>做强“江西山茶油”母品牌，</w:t>
      </w:r>
      <w:r>
        <w:rPr>
          <w:rFonts w:hint="eastAsia" w:ascii="仿宋_GB2312" w:hAnsi="仿宋_GB2312" w:eastAsia="仿宋_GB2312" w:cs="仿宋_GB2312"/>
          <w:sz w:val="32"/>
          <w:szCs w:val="32"/>
        </w:rPr>
        <w:t>助力</w:t>
      </w:r>
      <w:r>
        <w:rPr>
          <w:rFonts w:ascii="仿宋_GB2312" w:hAnsi="仿宋_GB2312" w:eastAsia="仿宋_GB2312" w:cs="仿宋_GB2312"/>
          <w:sz w:val="32"/>
          <w:szCs w:val="32"/>
        </w:rPr>
        <w:t>创建江西竹产业公用母品牌。建立</w:t>
      </w:r>
      <w:r>
        <w:rPr>
          <w:rFonts w:hint="eastAsia" w:ascii="仿宋_GB2312" w:hAnsi="仿宋_GB2312" w:eastAsia="仿宋_GB2312" w:cs="仿宋_GB2312"/>
          <w:sz w:val="32"/>
          <w:szCs w:val="32"/>
        </w:rPr>
        <w:t>具有鲜明特色的</w:t>
      </w:r>
      <w:r>
        <w:rPr>
          <w:rFonts w:ascii="仿宋_GB2312" w:hAnsi="仿宋_GB2312" w:eastAsia="仿宋_GB2312" w:cs="仿宋_GB2312"/>
          <w:sz w:val="32"/>
          <w:szCs w:val="32"/>
        </w:rPr>
        <w:t>商标目录，强化品牌宣传。营造良好营商环境，加快社会化服务体系建设。引导要素集聚，配套基础设施，提升机械化智能化水平。加强林产品质量安全监管，加大油茶籽、笋类、森林药材等安全监测力度，保障食用林产品质量安全。</w:t>
      </w:r>
    </w:p>
    <w:p w14:paraId="40FCC9AA">
      <w:pPr>
        <w:widowControl w:val="0"/>
        <w:spacing w:after="0" w:line="600" w:lineRule="exact"/>
        <w:ind w:firstLine="640" w:firstLineChars="200"/>
        <w:jc w:val="both"/>
        <w:rPr>
          <w:rFonts w:ascii="仿宋_GB2312" w:hAnsi="仿宋_GB2312" w:eastAsia="仿宋_GB2312" w:cs="仿宋_GB2312"/>
          <w:sz w:val="32"/>
          <w:szCs w:val="32"/>
        </w:rPr>
      </w:pPr>
      <w:r>
        <w:rPr>
          <w:rFonts w:ascii="黑体" w:hAnsi="黑体" w:eastAsia="黑体" w:cs="黑体"/>
          <w:sz w:val="32"/>
          <w:szCs w:val="32"/>
        </w:rPr>
        <w:t>五、深化重点领域改革</w:t>
      </w:r>
    </w:p>
    <w:p w14:paraId="3E0EF550">
      <w:pPr>
        <w:widowControl w:val="0"/>
        <w:spacing w:after="0" w:line="600" w:lineRule="exact"/>
        <w:ind w:firstLine="643" w:firstLineChars="200"/>
        <w:jc w:val="both"/>
        <w:rPr>
          <w:rFonts w:ascii="仿宋_GB2312" w:hAnsi="仿宋_GB2312" w:eastAsia="仿宋_GB2312" w:cs="仿宋_GB2312"/>
          <w:sz w:val="32"/>
          <w:szCs w:val="32"/>
        </w:rPr>
      </w:pPr>
      <w:r>
        <w:rPr>
          <w:rFonts w:ascii="楷体_GB2312" w:hAnsi="楷体_GB2312" w:eastAsia="楷体_GB2312" w:cs="楷体_GB2312"/>
          <w:b/>
          <w:bCs/>
          <w:sz w:val="32"/>
          <w:szCs w:val="32"/>
        </w:rPr>
        <w:t>（一）持续深化集体林权制度改革。</w:t>
      </w:r>
      <w:r>
        <w:rPr>
          <w:rFonts w:ascii="仿宋_GB2312" w:hAnsi="仿宋_GB2312" w:eastAsia="仿宋_GB2312" w:cs="仿宋_GB2312"/>
          <w:sz w:val="32"/>
          <w:szCs w:val="32"/>
        </w:rPr>
        <w:t>健全集体林地所有权、承包权、经营权“三权分置”管理和运行机制，落实处置权，用活收益权，激活地役权。推动林业经营收益权证制度、优化林木采伐、公益林区划调整、林下空间复合利用、林权流转收储、森林可持续经营、国有林场联农带农、乡镇片区服务中心等扩面增效。发展林业适度规模经营，完善适度规模经营财政奖补政策，推广家庭联合经营、农户委托经营、“企业+基地+农户”联结经营等模式，培育壮大林业规模经营主体。实施重点区域公益林、天然商品林差异化补偿，开展流域生态补偿森林生态质量评价。依托林业产权交易平台，</w:t>
      </w:r>
      <w:r>
        <w:rPr>
          <w:rFonts w:hint="eastAsia" w:ascii="仿宋_GB2312" w:hAnsi="仿宋_GB2312" w:eastAsia="仿宋_GB2312" w:cs="仿宋_GB2312"/>
          <w:sz w:val="32"/>
          <w:szCs w:val="32"/>
        </w:rPr>
        <w:t>积极将本地区的优质</w:t>
      </w:r>
      <w:r>
        <w:rPr>
          <w:rFonts w:ascii="仿宋_GB2312" w:hAnsi="仿宋_GB2312" w:eastAsia="仿宋_GB2312" w:cs="仿宋_GB2312"/>
          <w:sz w:val="32"/>
          <w:szCs w:val="32"/>
        </w:rPr>
        <w:t>生态产品</w:t>
      </w:r>
      <w:r>
        <w:rPr>
          <w:rFonts w:hint="eastAsia" w:ascii="仿宋_GB2312" w:hAnsi="仿宋_GB2312" w:eastAsia="仿宋_GB2312" w:cs="仿宋_GB2312"/>
          <w:sz w:val="32"/>
          <w:szCs w:val="32"/>
        </w:rPr>
        <w:t>推向市场</w:t>
      </w:r>
      <w:r>
        <w:rPr>
          <w:rFonts w:ascii="仿宋_GB2312" w:hAnsi="仿宋_GB2312" w:eastAsia="仿宋_GB2312" w:cs="仿宋_GB2312"/>
          <w:sz w:val="32"/>
          <w:szCs w:val="32"/>
        </w:rPr>
        <w:t>。深化“湿地资源运营”改革。完善金融支撑林业发展体系，健全林银、林保协同机制和林权收储担保运营机制。持续开展林业碳汇监测，建立CCER林业碳汇项目储备</w:t>
      </w:r>
      <w:r>
        <w:rPr>
          <w:rFonts w:hint="eastAsia" w:ascii="仿宋_GB2312" w:hAnsi="仿宋_GB2312" w:eastAsia="仿宋_GB2312" w:cs="仿宋_GB2312"/>
          <w:sz w:val="32"/>
          <w:szCs w:val="32"/>
        </w:rPr>
        <w:t>台账</w:t>
      </w:r>
      <w:bookmarkStart w:id="7" w:name="bookmark20"/>
      <w:bookmarkEnd w:id="7"/>
      <w:r>
        <w:rPr>
          <w:rFonts w:ascii="仿宋_GB2312" w:hAnsi="仿宋_GB2312" w:eastAsia="仿宋_GB2312" w:cs="仿宋_GB2312"/>
          <w:sz w:val="32"/>
          <w:szCs w:val="32"/>
        </w:rPr>
        <w:t>。</w:t>
      </w:r>
    </w:p>
    <w:p w14:paraId="57F271DE">
      <w:pPr>
        <w:widowControl w:val="0"/>
        <w:spacing w:after="0" w:line="600" w:lineRule="exact"/>
        <w:ind w:firstLine="643" w:firstLineChars="200"/>
        <w:jc w:val="both"/>
        <w:rPr>
          <w:rFonts w:ascii="仿宋_GB2312" w:hAnsi="仿宋_GB2312" w:eastAsia="仿宋_GB2312" w:cs="仿宋_GB2312"/>
          <w:sz w:val="32"/>
          <w:szCs w:val="32"/>
        </w:rPr>
      </w:pPr>
      <w:r>
        <w:rPr>
          <w:rFonts w:ascii="楷体_GB2312" w:hAnsi="楷体_GB2312" w:eastAsia="楷体_GB2312" w:cs="楷体_GB2312"/>
          <w:b/>
          <w:bCs/>
          <w:sz w:val="32"/>
          <w:szCs w:val="32"/>
        </w:rPr>
        <w:t>（二）推进国有林场现代化建设。</w:t>
      </w:r>
      <w:r>
        <w:rPr>
          <w:rFonts w:hint="eastAsia" w:ascii="仿宋_GB2312" w:hAnsi="仿宋_GB2312" w:eastAsia="仿宋_GB2312" w:cs="仿宋_GB2312"/>
          <w:sz w:val="32"/>
          <w:szCs w:val="32"/>
        </w:rPr>
        <w:t>编制</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景德镇市</w:t>
      </w:r>
      <w:r>
        <w:rPr>
          <w:rFonts w:ascii="仿宋_GB2312" w:hAnsi="仿宋_GB2312" w:eastAsia="仿宋_GB2312" w:cs="仿宋_GB2312"/>
          <w:sz w:val="32"/>
          <w:szCs w:val="32"/>
        </w:rPr>
        <w:t>现代化国有林场建设实施方案》，理顺和完善国有林场管理体制机制，探索建立经营性收入分配激励机制。以森林经营方案为核心，健全监管与绩效评价指标体系。完善国有森林资源有偿使用制度，支持开展科学技术研究和推广示范，推广应用国有林场试点、森林可持续经营试点成果。加大水、电、气、路、网等基础设施建设，发展森林康养、林下经济等生态产业，打造林业产业示范</w:t>
      </w:r>
      <w:r>
        <w:rPr>
          <w:rFonts w:hint="eastAsia" w:ascii="仿宋_GB2312" w:hAnsi="仿宋_GB2312" w:eastAsia="仿宋_GB2312" w:cs="仿宋_GB2312"/>
          <w:sz w:val="32"/>
          <w:szCs w:val="32"/>
        </w:rPr>
        <w:t>基地</w:t>
      </w:r>
      <w:r>
        <w:rPr>
          <w:rFonts w:ascii="仿宋_GB2312" w:hAnsi="仿宋_GB2312" w:eastAsia="仿宋_GB2312" w:cs="仿宋_GB2312"/>
          <w:sz w:val="32"/>
          <w:szCs w:val="32"/>
        </w:rPr>
        <w:t>，推进林场道路网格化、作业机械化、产业集群化、管理数智化，赋能国有林场转型升级、二次创业、绿色发展。</w:t>
      </w:r>
    </w:p>
    <w:p w14:paraId="433EB1E2">
      <w:pPr>
        <w:widowControl w:val="0"/>
        <w:adjustRightInd/>
        <w:snapToGrid/>
        <w:spacing w:after="0" w:line="600" w:lineRule="exact"/>
        <w:ind w:firstLine="643" w:firstLineChars="200"/>
        <w:jc w:val="both"/>
        <w:rPr>
          <w:rFonts w:ascii="仿宋_GB2312" w:hAnsi="仿宋_GB2312" w:eastAsia="仿宋_GB2312" w:cs="仿宋_GB2312"/>
          <w:sz w:val="32"/>
          <w:szCs w:val="32"/>
        </w:rPr>
      </w:pPr>
      <w:r>
        <w:rPr>
          <w:rFonts w:ascii="楷体_GB2312" w:hAnsi="楷体_GB2312" w:eastAsia="楷体_GB2312" w:cs="楷体_GB2312"/>
          <w:b/>
          <w:bCs/>
          <w:sz w:val="32"/>
          <w:szCs w:val="32"/>
        </w:rPr>
        <w:t>（三）健全林业制度政策体系。</w:t>
      </w:r>
      <w:r>
        <w:rPr>
          <w:rFonts w:ascii="仿宋_GB2312" w:hAnsi="仿宋_GB2312" w:eastAsia="仿宋_GB2312" w:cs="仿宋_GB2312"/>
          <w:sz w:val="32"/>
          <w:szCs w:val="32"/>
        </w:rPr>
        <w:t>以“一单一变一站一环一码一提升”为核心，更高标准打造林长制升级版。</w:t>
      </w:r>
      <w:r>
        <w:rPr>
          <w:rFonts w:hint="eastAsia" w:ascii="仿宋_GB2312" w:hAnsi="仿宋_GB2312" w:eastAsia="仿宋_GB2312" w:cs="仿宋_GB2312"/>
          <w:sz w:val="32"/>
          <w:szCs w:val="32"/>
        </w:rPr>
        <w:t>积极配合</w:t>
      </w:r>
      <w:r>
        <w:rPr>
          <w:rFonts w:ascii="仿宋_GB2312" w:hAnsi="仿宋_GB2312" w:eastAsia="仿宋_GB2312" w:cs="仿宋_GB2312"/>
          <w:sz w:val="32"/>
          <w:szCs w:val="32"/>
        </w:rPr>
        <w:t>《江西省森林条例》《江西省实施〈中华人民共和国野生动物保护法〉办法》《江西省古树名木保护条例》等法规制修订。强化执法辅助和技术支撑，进一步增强基层执法力量。强化执法监督，推进“双随机、一公开”行政检查和行政处罚案卷评查，落实重大案件督办，加强对赋权乡镇（街道）林业行政处罚事项业务指导。推进林业行政执法信息化建设和跨部门执法协作，提升执法质效。</w:t>
      </w:r>
    </w:p>
    <w:p w14:paraId="481A2E43">
      <w:pPr>
        <w:widowControl w:val="0"/>
        <w:spacing w:after="0" w:line="600" w:lineRule="exact"/>
        <w:ind w:firstLine="640" w:firstLineChars="200"/>
        <w:jc w:val="both"/>
        <w:rPr>
          <w:rFonts w:ascii="黑体" w:hAnsi="黑体" w:eastAsia="黑体" w:cs="黑体"/>
          <w:sz w:val="32"/>
          <w:szCs w:val="32"/>
        </w:rPr>
      </w:pPr>
      <w:r>
        <w:rPr>
          <w:rFonts w:ascii="黑体" w:hAnsi="黑体" w:eastAsia="黑体" w:cs="黑体"/>
          <w:sz w:val="32"/>
          <w:szCs w:val="32"/>
        </w:rPr>
        <w:t>六、提升科技赋能水平</w:t>
      </w:r>
    </w:p>
    <w:p w14:paraId="42B72A26">
      <w:pPr>
        <w:widowControl w:val="0"/>
        <w:spacing w:after="0" w:line="600" w:lineRule="exact"/>
        <w:ind w:firstLine="643" w:firstLineChars="200"/>
        <w:jc w:val="both"/>
        <w:rPr>
          <w:rFonts w:ascii="仿宋_GB2312" w:hAnsi="仿宋_GB2312" w:eastAsia="仿宋_GB2312" w:cs="仿宋_GB2312"/>
          <w:sz w:val="32"/>
          <w:szCs w:val="32"/>
        </w:rPr>
      </w:pPr>
      <w:r>
        <w:rPr>
          <w:rFonts w:ascii="楷体_GB2312" w:hAnsi="楷体_GB2312" w:eastAsia="楷体_GB2312" w:cs="楷体_GB2312"/>
          <w:b/>
          <w:bCs/>
          <w:sz w:val="32"/>
          <w:szCs w:val="32"/>
        </w:rPr>
        <w:t>（一）增强科技创新能力。</w:t>
      </w:r>
      <w:r>
        <w:rPr>
          <w:rFonts w:ascii="仿宋_GB2312" w:hAnsi="仿宋_GB2312" w:eastAsia="仿宋_GB2312" w:cs="仿宋_GB2312"/>
          <w:sz w:val="32"/>
          <w:szCs w:val="32"/>
        </w:rPr>
        <w:t>巩固完善林业科技推广体系，探索“科研+企业+基地”推广模式，重点打造油茶、毛竹、林下经济等全产业链技术集成推广示范样板。</w:t>
      </w:r>
      <w:r>
        <w:rPr>
          <w:rFonts w:hint="eastAsia" w:ascii="仿宋_GB2312" w:hAnsi="仿宋_GB2312" w:eastAsia="仿宋_GB2312" w:cs="仿宋_GB2312"/>
          <w:sz w:val="32"/>
          <w:szCs w:val="32"/>
        </w:rPr>
        <w:t>积极开展本地区林下种植的道地</w:t>
      </w:r>
      <w:r>
        <w:rPr>
          <w:rFonts w:ascii="仿宋_GB2312" w:hAnsi="仿宋_GB2312" w:eastAsia="仿宋_GB2312" w:cs="仿宋_GB2312"/>
          <w:sz w:val="32"/>
          <w:szCs w:val="32"/>
        </w:rPr>
        <w:t>药材</w:t>
      </w:r>
      <w:r>
        <w:rPr>
          <w:rFonts w:hint="eastAsia" w:ascii="仿宋_GB2312" w:hAnsi="仿宋_GB2312" w:eastAsia="仿宋_GB2312" w:cs="仿宋_GB2312"/>
          <w:sz w:val="32"/>
          <w:szCs w:val="32"/>
        </w:rPr>
        <w:t>培育及炮制地方行业标准编制</w:t>
      </w:r>
      <w:r>
        <w:rPr>
          <w:rFonts w:ascii="仿宋_GB2312" w:hAnsi="仿宋_GB2312" w:eastAsia="仿宋_GB2312" w:cs="仿宋_GB2312"/>
          <w:sz w:val="32"/>
          <w:szCs w:val="32"/>
        </w:rPr>
        <w:t>。强化科技成果转化应用，积极开展林机装备应用示范与推广。</w:t>
      </w:r>
      <w:r>
        <w:rPr>
          <w:rFonts w:hint="eastAsia" w:ascii="仿宋_GB2312" w:hAnsi="仿宋_GB2312" w:eastAsia="仿宋_GB2312" w:cs="仿宋_GB2312"/>
          <w:sz w:val="32"/>
          <w:szCs w:val="32"/>
        </w:rPr>
        <w:t>充分依靠</w:t>
      </w:r>
      <w:r>
        <w:rPr>
          <w:rFonts w:ascii="仿宋_GB2312" w:hAnsi="仿宋_GB2312" w:eastAsia="仿宋_GB2312" w:cs="仿宋_GB2312"/>
          <w:sz w:val="32"/>
          <w:szCs w:val="32"/>
        </w:rPr>
        <w:t>江西林业网、“江西林技通”云平台、“空中课堂”等品牌</w:t>
      </w:r>
      <w:r>
        <w:rPr>
          <w:rFonts w:hint="eastAsia" w:ascii="仿宋_GB2312" w:hAnsi="仿宋_GB2312" w:eastAsia="仿宋_GB2312" w:cs="仿宋_GB2312"/>
          <w:sz w:val="32"/>
          <w:szCs w:val="32"/>
        </w:rPr>
        <w:t>推动实用林业科技的普及</w:t>
      </w:r>
      <w:r>
        <w:rPr>
          <w:rFonts w:ascii="仿宋_GB2312" w:hAnsi="仿宋_GB2312" w:eastAsia="仿宋_GB2312" w:cs="仿宋_GB2312"/>
          <w:sz w:val="32"/>
          <w:szCs w:val="32"/>
        </w:rPr>
        <w:t>。常态化开展</w:t>
      </w:r>
      <w:bookmarkStart w:id="8" w:name="bookmark23"/>
      <w:bookmarkEnd w:id="8"/>
      <w:r>
        <w:rPr>
          <w:rFonts w:ascii="仿宋_GB2312" w:hAnsi="仿宋_GB2312" w:eastAsia="仿宋_GB2312" w:cs="仿宋_GB2312"/>
          <w:sz w:val="32"/>
          <w:szCs w:val="32"/>
        </w:rPr>
        <w:t>基层科技服务，广泛开展形式多样科普宣传活动。</w:t>
      </w:r>
    </w:p>
    <w:p w14:paraId="6EB965EA">
      <w:pPr>
        <w:widowControl w:val="0"/>
        <w:spacing w:after="0" w:line="600" w:lineRule="exact"/>
        <w:ind w:firstLine="643" w:firstLineChars="200"/>
        <w:jc w:val="both"/>
        <w:rPr>
          <w:rFonts w:ascii="仿宋_GB2312" w:hAnsi="仿宋_GB2312" w:eastAsia="仿宋_GB2312" w:cs="仿宋_GB2312"/>
          <w:sz w:val="32"/>
          <w:szCs w:val="32"/>
        </w:rPr>
      </w:pPr>
      <w:r>
        <w:rPr>
          <w:rFonts w:ascii="楷体_GB2312" w:hAnsi="楷体_GB2312" w:eastAsia="楷体_GB2312" w:cs="楷体_GB2312"/>
          <w:b/>
          <w:bCs/>
          <w:sz w:val="32"/>
          <w:szCs w:val="32"/>
        </w:rPr>
        <w:t>（二）加快数智赋能应用。</w:t>
      </w:r>
      <w:r>
        <w:rPr>
          <w:rFonts w:ascii="仿宋_GB2312" w:hAnsi="仿宋_GB2312" w:eastAsia="仿宋_GB2312" w:cs="仿宋_GB2312"/>
          <w:sz w:val="32"/>
          <w:szCs w:val="32"/>
        </w:rPr>
        <w:t>推进智慧林业一体化平台推广应用，完善资源监测、业务应用、政务服务三大核心功能，拓展数字赋能新场景，加强</w:t>
      </w:r>
      <w:r>
        <w:rPr>
          <w:rFonts w:hint="eastAsia" w:ascii="仿宋_GB2312" w:hAnsi="仿宋_GB2312" w:eastAsia="仿宋_GB2312" w:cs="仿宋_GB2312"/>
          <w:sz w:val="32"/>
          <w:szCs w:val="32"/>
        </w:rPr>
        <w:t>新</w:t>
      </w:r>
      <w:r>
        <w:rPr>
          <w:rFonts w:ascii="仿宋_GB2312" w:hAnsi="仿宋_GB2312" w:eastAsia="仿宋_GB2312" w:cs="仿宋_GB2312"/>
          <w:sz w:val="32"/>
          <w:szCs w:val="32"/>
        </w:rPr>
        <w:t>信息技术</w:t>
      </w:r>
      <w:r>
        <w:rPr>
          <w:rFonts w:hint="eastAsia" w:ascii="仿宋_GB2312" w:hAnsi="仿宋_GB2312" w:eastAsia="仿宋_GB2312" w:cs="仿宋_GB2312"/>
          <w:sz w:val="32"/>
          <w:szCs w:val="32"/>
        </w:rPr>
        <w:t>的</w:t>
      </w:r>
      <w:r>
        <w:rPr>
          <w:rFonts w:ascii="仿宋_GB2312" w:hAnsi="仿宋_GB2312" w:eastAsia="仿宋_GB2312" w:cs="仿宋_GB2312"/>
          <w:sz w:val="32"/>
          <w:szCs w:val="32"/>
        </w:rPr>
        <w:t>应用，构建覆盖基层、多端融合的生态监测感知体系。开展森林、湿地、草地等林业资源安全预警监测，自然灾害成灾监测，自然保护地及其生态系统、林业生态保护修复成效监测评价。推进人工智能、数字孪生、卫星通信、区块链等前沿技术融合应用，探索运用新技术改造提升传统产业。深化无人机等设备在林业勘测、巡护、监测等</w:t>
      </w:r>
      <w:bookmarkStart w:id="9" w:name="bookmark24"/>
      <w:bookmarkEnd w:id="9"/>
      <w:r>
        <w:rPr>
          <w:rFonts w:ascii="仿宋_GB2312" w:hAnsi="仿宋_GB2312" w:eastAsia="仿宋_GB2312" w:cs="仿宋_GB2312"/>
          <w:sz w:val="32"/>
          <w:szCs w:val="32"/>
        </w:rPr>
        <w:t>领域规模化、智能化应用。</w:t>
      </w:r>
    </w:p>
    <w:p w14:paraId="0DBEE0DE">
      <w:pPr>
        <w:widowControl w:val="0"/>
        <w:spacing w:after="0" w:line="600" w:lineRule="exact"/>
        <w:ind w:firstLine="643" w:firstLineChars="200"/>
        <w:jc w:val="both"/>
        <w:rPr>
          <w:rFonts w:ascii="仿宋_GB2312" w:hAnsi="仿宋_GB2312" w:eastAsia="仿宋_GB2312" w:cs="仿宋_GB2312"/>
          <w:sz w:val="32"/>
          <w:szCs w:val="32"/>
        </w:rPr>
      </w:pPr>
      <w:r>
        <w:rPr>
          <w:rFonts w:ascii="楷体_GB2312" w:hAnsi="楷体_GB2312" w:eastAsia="楷体_GB2312" w:cs="楷体_GB2312"/>
          <w:b/>
          <w:bCs/>
          <w:sz w:val="32"/>
          <w:szCs w:val="32"/>
        </w:rPr>
        <w:t>（三）加强人才队伍建设。</w:t>
      </w:r>
      <w:r>
        <w:rPr>
          <w:rFonts w:ascii="仿宋_GB2312" w:hAnsi="仿宋_GB2312" w:eastAsia="仿宋_GB2312" w:cs="仿宋_GB2312"/>
          <w:sz w:val="32"/>
          <w:szCs w:val="32"/>
        </w:rPr>
        <w:t>坚持党管干部、党管人才，加强政治忠诚和理想信念教育，全面推进林业人才队伍建设。聚焦重点领域，精准引进紧缺专业人才，常态化培育骨干业务人才，持续壮大基层乡土林业人才队伍。加强干部教育培训、专业技术人员继续教育，分层分类开展系统化能力提升培训，不断优化老中青人才梯队结构。健全人才评价、激励、管理保障机制，树立正确选人用人导向，强化干部监督管理，破除人才发展壁垒，打造一支政治坚定、素养全面、能力过硬、作风优良的新时代林业专业化人才队伍。</w:t>
      </w:r>
    </w:p>
    <w:p w14:paraId="78CD9B21">
      <w:pPr>
        <w:widowControl w:val="0"/>
        <w:spacing w:after="0" w:line="600" w:lineRule="exact"/>
        <w:ind w:firstLine="640" w:firstLineChars="200"/>
        <w:jc w:val="both"/>
        <w:rPr>
          <w:rFonts w:ascii="黑体" w:hAnsi="黑体" w:eastAsia="黑体" w:cs="黑体"/>
          <w:sz w:val="32"/>
          <w:szCs w:val="32"/>
        </w:rPr>
      </w:pPr>
      <w:r>
        <w:rPr>
          <w:rFonts w:ascii="黑体" w:hAnsi="黑体" w:eastAsia="黑体" w:cs="黑体"/>
          <w:sz w:val="32"/>
          <w:szCs w:val="32"/>
        </w:rPr>
        <w:t>七、加强规划实施保障</w:t>
      </w:r>
    </w:p>
    <w:p w14:paraId="0D7B00CB">
      <w:pPr>
        <w:widowControl w:val="0"/>
        <w:spacing w:after="0" w:line="600" w:lineRule="exact"/>
        <w:ind w:firstLine="643" w:firstLineChars="200"/>
        <w:jc w:val="both"/>
        <w:rPr>
          <w:rFonts w:ascii="仿宋_GB2312" w:hAnsi="仿宋_GB2312" w:eastAsia="仿宋_GB2312" w:cs="仿宋_GB2312"/>
          <w:sz w:val="32"/>
          <w:szCs w:val="32"/>
        </w:rPr>
      </w:pPr>
      <w:r>
        <w:rPr>
          <w:rFonts w:ascii="楷体_GB2312" w:hAnsi="楷体_GB2312" w:eastAsia="楷体_GB2312" w:cs="楷体_GB2312"/>
          <w:b/>
          <w:bCs/>
          <w:sz w:val="32"/>
          <w:szCs w:val="32"/>
        </w:rPr>
        <w:t>（一）全面加强党的领导。</w:t>
      </w:r>
      <w:r>
        <w:rPr>
          <w:rFonts w:ascii="仿宋_GB2312" w:hAnsi="仿宋_GB2312" w:eastAsia="仿宋_GB2312" w:cs="仿宋_GB2312"/>
          <w:sz w:val="32"/>
          <w:szCs w:val="32"/>
        </w:rPr>
        <w:t>坚持党对林业工作的全面领导，</w:t>
      </w:r>
      <w:r>
        <w:rPr>
          <w:rFonts w:hint="eastAsia" w:ascii="仿宋_GB2312" w:hAnsi="仿宋_GB2312" w:eastAsia="仿宋_GB2312" w:cs="仿宋_GB2312"/>
          <w:sz w:val="32"/>
          <w:szCs w:val="32"/>
        </w:rPr>
        <w:t>努力将建设“四高一强”现代化林业</w:t>
      </w:r>
      <w:r>
        <w:rPr>
          <w:rFonts w:ascii="仿宋_GB2312" w:hAnsi="仿宋_GB2312" w:eastAsia="仿宋_GB2312" w:cs="仿宋_GB2312"/>
          <w:sz w:val="32"/>
          <w:szCs w:val="32"/>
        </w:rPr>
        <w:t>融入</w:t>
      </w:r>
      <w:r>
        <w:rPr>
          <w:rFonts w:hint="eastAsia" w:ascii="仿宋_GB2312" w:hAnsi="仿宋_GB2312" w:eastAsia="仿宋_GB2312" w:cs="仿宋_GB2312"/>
          <w:sz w:val="32"/>
          <w:szCs w:val="32"/>
        </w:rPr>
        <w:t>到景德镇市</w:t>
      </w:r>
      <w:r>
        <w:rPr>
          <w:rFonts w:ascii="仿宋_GB2312" w:hAnsi="仿宋_GB2312" w:eastAsia="仿宋_GB2312" w:cs="仿宋_GB2312"/>
          <w:sz w:val="32"/>
          <w:szCs w:val="32"/>
        </w:rPr>
        <w:t>经济社会发展总体规划，及时研究协调解决林业发展中的重点、难点问题，确保</w:t>
      </w:r>
      <w:bookmarkStart w:id="10" w:name="bookmark27"/>
      <w:bookmarkEnd w:id="10"/>
      <w:r>
        <w:rPr>
          <w:rFonts w:hint="eastAsia" w:ascii="仿宋_GB2312" w:hAnsi="仿宋_GB2312" w:eastAsia="仿宋_GB2312" w:cs="仿宋_GB2312"/>
          <w:sz w:val="32"/>
          <w:szCs w:val="32"/>
        </w:rPr>
        <w:t>上级有关林业的方针政策、</w:t>
      </w:r>
      <w:r>
        <w:rPr>
          <w:rFonts w:ascii="仿宋_GB2312" w:hAnsi="仿宋_GB2312" w:eastAsia="仿宋_GB2312" w:cs="仿宋_GB2312"/>
          <w:sz w:val="32"/>
          <w:szCs w:val="32"/>
        </w:rPr>
        <w:t>决策部署贯彻落实。</w:t>
      </w:r>
    </w:p>
    <w:p w14:paraId="5645C578">
      <w:pPr>
        <w:widowControl w:val="0"/>
        <w:spacing w:after="0" w:line="600" w:lineRule="exact"/>
        <w:ind w:firstLine="643" w:firstLineChars="200"/>
        <w:jc w:val="both"/>
        <w:rPr>
          <w:rFonts w:ascii="仿宋_GB2312" w:hAnsi="仿宋_GB2312" w:eastAsia="仿宋_GB2312" w:cs="仿宋_GB2312"/>
          <w:sz w:val="32"/>
          <w:szCs w:val="32"/>
        </w:rPr>
      </w:pPr>
      <w:r>
        <w:rPr>
          <w:rFonts w:ascii="楷体_GB2312" w:hAnsi="楷体_GB2312" w:eastAsia="楷体_GB2312" w:cs="楷体_GB2312"/>
          <w:b/>
          <w:bCs/>
          <w:sz w:val="32"/>
          <w:szCs w:val="32"/>
        </w:rPr>
        <w:t>（二）健全多元投入保障。</w:t>
      </w:r>
      <w:r>
        <w:rPr>
          <w:rFonts w:hint="eastAsia" w:ascii="仿宋_GB2312" w:hAnsi="仿宋_GB2312" w:eastAsia="仿宋_GB2312" w:cs="仿宋_GB2312"/>
          <w:sz w:val="32"/>
          <w:szCs w:val="32"/>
        </w:rPr>
        <w:t>创造条件积极申报林业项目，争取中央财政资金，积极融入市场推动优质林业资源资本化，</w:t>
      </w:r>
      <w:r>
        <w:rPr>
          <w:rFonts w:ascii="仿宋_GB2312" w:hAnsi="仿宋_GB2312" w:eastAsia="仿宋_GB2312" w:cs="仿宋_GB2312"/>
          <w:sz w:val="32"/>
          <w:szCs w:val="32"/>
        </w:rPr>
        <w:t>积极构建多元化林草投入机制，创新林业投融资体制，引导金融资本和社会资本“进山入林”。加强林草资金项目全过程监督管理，推动项目资金监管制度化、</w:t>
      </w:r>
      <w:bookmarkStart w:id="11" w:name="bookmark28"/>
      <w:bookmarkEnd w:id="11"/>
      <w:r>
        <w:rPr>
          <w:rFonts w:ascii="仿宋_GB2312" w:hAnsi="仿宋_GB2312" w:eastAsia="仿宋_GB2312" w:cs="仿宋_GB2312"/>
          <w:sz w:val="32"/>
          <w:szCs w:val="32"/>
        </w:rPr>
        <w:t>规范化，切实保障资金安全运行，提升资金使用绩效</w:t>
      </w:r>
      <w:r>
        <w:rPr>
          <w:rFonts w:hint="eastAsia" w:ascii="仿宋_GB2312" w:hAnsi="仿宋_GB2312" w:eastAsia="仿宋_GB2312" w:cs="仿宋_GB2312"/>
          <w:sz w:val="32"/>
          <w:szCs w:val="32"/>
        </w:rPr>
        <w:t>。</w:t>
      </w:r>
    </w:p>
    <w:p w14:paraId="23ADB24F">
      <w:pPr>
        <w:widowControl w:val="0"/>
        <w:spacing w:after="0" w:line="600" w:lineRule="exact"/>
        <w:ind w:firstLine="643" w:firstLineChars="200"/>
        <w:jc w:val="both"/>
        <w:rPr>
          <w:rFonts w:ascii="仿宋_GB2312" w:hAnsi="仿宋_GB2312" w:eastAsia="仿宋_GB2312" w:cs="仿宋_GB2312"/>
          <w:sz w:val="32"/>
          <w:szCs w:val="32"/>
        </w:rPr>
      </w:pPr>
      <w:r>
        <w:rPr>
          <w:rFonts w:ascii="楷体_GB2312" w:hAnsi="楷体_GB2312" w:eastAsia="楷体_GB2312" w:cs="楷体_GB2312"/>
          <w:b/>
          <w:bCs/>
          <w:sz w:val="32"/>
          <w:szCs w:val="32"/>
        </w:rPr>
        <w:t>（三）严格规划执行管理。</w:t>
      </w:r>
      <w:r>
        <w:rPr>
          <w:rFonts w:ascii="仿宋_GB2312" w:hAnsi="仿宋_GB2312" w:eastAsia="仿宋_GB2312" w:cs="仿宋_GB2312"/>
          <w:sz w:val="32"/>
          <w:szCs w:val="32"/>
        </w:rPr>
        <w:t>市县级林业规划（方案）要充分衔接本规划目标任务，结合生态承载力和空间差异明确功能分区，统筹落实林草资源保护、质量提升、产业发展、生态修复、防灾减灾以及基础设施建设等各项任务。实行规划全生命周期管理，建立规划评估考核机制，对规划实施进行中期和终期评估。强化规划实施监督，自觉接受各级巡视、审计以及新闻媒体、社会公众对规划执行情况的监督。</w:t>
      </w:r>
    </w:p>
    <w:p w14:paraId="1A3E53BA">
      <w:pPr>
        <w:widowControl w:val="0"/>
        <w:spacing w:after="0" w:line="600" w:lineRule="exact"/>
        <w:ind w:firstLine="640" w:firstLineChars="200"/>
        <w:jc w:val="both"/>
        <w:rPr>
          <w:rFonts w:ascii="仿宋_GB2312" w:hAnsi="仿宋_GB2312" w:eastAsia="仿宋_GB2312" w:cs="仿宋_GB2312"/>
          <w:sz w:val="32"/>
          <w:szCs w:val="32"/>
        </w:rPr>
      </w:pPr>
    </w:p>
    <w:p w14:paraId="0F45D4C5">
      <w:pPr>
        <w:widowControl w:val="0"/>
        <w:spacing w:after="0" w:line="600" w:lineRule="exact"/>
        <w:ind w:firstLine="640" w:firstLineChars="200"/>
        <w:jc w:val="both"/>
        <w:rPr>
          <w:rFonts w:ascii="仿宋_GB2312" w:hAnsi="仿宋_GB2312" w:eastAsia="仿宋_GB2312" w:cs="仿宋_GB2312"/>
          <w:sz w:val="32"/>
          <w:szCs w:val="32"/>
        </w:rPr>
      </w:pPr>
    </w:p>
    <w:p w14:paraId="397D439B">
      <w:pPr>
        <w:widowControl w:val="0"/>
        <w:spacing w:after="0" w:line="600" w:lineRule="exact"/>
        <w:ind w:firstLine="640" w:firstLineChars="200"/>
        <w:jc w:val="both"/>
        <w:rPr>
          <w:rFonts w:ascii="仿宋_GB2312" w:hAnsi="仿宋_GB2312" w:eastAsia="仿宋_GB2312" w:cs="仿宋_GB2312"/>
          <w:sz w:val="32"/>
          <w:szCs w:val="32"/>
        </w:rPr>
      </w:pPr>
      <w:r>
        <w:rPr>
          <w:rFonts w:ascii="仿宋_GB2312" w:hAnsi="仿宋_GB2312" w:eastAsia="仿宋_GB2312" w:cs="仿宋_GB2312"/>
          <w:sz w:val="32"/>
          <w:szCs w:val="32"/>
        </w:rPr>
        <w:t xml:space="preserve">                                    2026年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p>
    <w:p w14:paraId="63E5F6DC">
      <w:pPr>
        <w:widowControl w:val="0"/>
        <w:spacing w:after="0" w:line="600" w:lineRule="exact"/>
        <w:ind w:firstLine="640" w:firstLineChars="200"/>
        <w:jc w:val="both"/>
        <w:rPr>
          <w:rFonts w:ascii="仿宋_GB2312" w:hAnsi="仿宋_GB2312" w:eastAsia="仿宋_GB2312" w:cs="仿宋_GB2312"/>
          <w:color w:val="000000" w:themeColor="text1"/>
          <w:sz w:val="32"/>
          <w:szCs w:val="32"/>
          <w14:textFill>
            <w14:solidFill>
              <w14:schemeClr w14:val="tx1"/>
            </w14:solidFill>
          </w14:textFill>
        </w:rPr>
        <w:sectPr>
          <w:headerReference r:id="rId6" w:type="default"/>
          <w:footerReference r:id="rId7" w:type="default"/>
          <w:pgSz w:w="11906" w:h="16838"/>
          <w:pgMar w:top="2098" w:right="1587" w:bottom="1701" w:left="1587" w:header="708" w:footer="708" w:gutter="0"/>
          <w:pgNumType w:fmt="numberInDash"/>
          <w:cols w:space="708" w:num="1"/>
          <w:docGrid w:linePitch="360" w:charSpace="0"/>
        </w:sectPr>
      </w:pPr>
    </w:p>
    <w:p w14:paraId="3183BAA8">
      <w:pPr>
        <w:widowControl w:val="0"/>
        <w:spacing w:after="0" w:line="700" w:lineRule="exact"/>
        <w:jc w:val="center"/>
        <w:rPr>
          <w:rFonts w:ascii="仿宋_GB2312" w:hAnsi="仿宋_GB2312" w:eastAsia="仿宋_GB2312" w:cs="仿宋_GB2312"/>
          <w:sz w:val="30"/>
          <w:szCs w:val="30"/>
        </w:rPr>
      </w:pPr>
      <w:r>
        <w:rPr>
          <w:rFonts w:hint="eastAsia" w:ascii="方正小标宋_GBK" w:hAnsi="方正小标宋_GBK" w:eastAsia="方正小标宋_GBK" w:cs="方正小标宋_GBK"/>
          <w:sz w:val="44"/>
          <w:szCs w:val="44"/>
        </w:rPr>
        <w:t>景德镇市林业发展“十五五”规划项目表</w:t>
      </w:r>
    </w:p>
    <w:p w14:paraId="22B7A1BF">
      <w:pPr>
        <w:widowControl w:val="0"/>
        <w:spacing w:after="0" w:line="200" w:lineRule="exact"/>
        <w:jc w:val="center"/>
        <w:rPr>
          <w:rFonts w:ascii="仿宋_GB2312" w:hAnsi="仿宋_GB2312" w:eastAsia="仿宋_GB2312" w:cs="仿宋_GB2312"/>
          <w:sz w:val="30"/>
          <w:szCs w:val="30"/>
        </w:rPr>
      </w:pPr>
    </w:p>
    <w:p w14:paraId="7A9B00AE">
      <w:pPr>
        <w:widowControl w:val="0"/>
        <w:spacing w:after="0" w:line="20" w:lineRule="exact"/>
        <w:jc w:val="both"/>
        <w:rPr>
          <w:rFonts w:ascii="仿宋_GB2312" w:hAnsi="仿宋_GB2312" w:eastAsia="仿宋_GB2312" w:cs="仿宋_GB2312"/>
          <w:sz w:val="30"/>
          <w:szCs w:val="30"/>
        </w:rPr>
      </w:pPr>
    </w:p>
    <w:tbl>
      <w:tblPr>
        <w:tblStyle w:val="17"/>
        <w:tblW w:w="14513" w:type="dxa"/>
        <w:tblInd w:w="0" w:type="dxa"/>
        <w:tblLayout w:type="fixed"/>
        <w:tblCellMar>
          <w:top w:w="0" w:type="dxa"/>
          <w:left w:w="108" w:type="dxa"/>
          <w:bottom w:w="0" w:type="dxa"/>
          <w:right w:w="108" w:type="dxa"/>
        </w:tblCellMar>
      </w:tblPr>
      <w:tblGrid>
        <w:gridCol w:w="886"/>
        <w:gridCol w:w="2280"/>
        <w:gridCol w:w="11347"/>
      </w:tblGrid>
      <w:tr w14:paraId="7C491093">
        <w:tblPrEx>
          <w:tblCellMar>
            <w:top w:w="0" w:type="dxa"/>
            <w:left w:w="108" w:type="dxa"/>
            <w:bottom w:w="0" w:type="dxa"/>
            <w:right w:w="108" w:type="dxa"/>
          </w:tblCellMar>
        </w:tblPrEx>
        <w:trPr>
          <w:cantSplit/>
          <w:trHeight w:val="706" w:hRule="atLeast"/>
          <w:tblHeader/>
        </w:trPr>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AC997">
            <w:pPr>
              <w:widowControl w:val="0"/>
              <w:spacing w:after="0" w:line="400" w:lineRule="exact"/>
              <w:jc w:val="center"/>
              <w:rPr>
                <w:rFonts w:ascii="黑体" w:hAnsi="黑体" w:eastAsia="黑体" w:cs="黑体"/>
                <w:sz w:val="32"/>
                <w:szCs w:val="32"/>
              </w:rPr>
            </w:pPr>
            <w:r>
              <w:rPr>
                <w:rFonts w:hint="eastAsia" w:ascii="黑体" w:hAnsi="黑体" w:eastAsia="黑体" w:cs="黑体"/>
                <w:sz w:val="32"/>
                <w:szCs w:val="32"/>
              </w:rPr>
              <w:t>序号</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87D4B">
            <w:pPr>
              <w:widowControl w:val="0"/>
              <w:spacing w:after="0" w:line="400" w:lineRule="exact"/>
              <w:jc w:val="center"/>
              <w:rPr>
                <w:rFonts w:ascii="黑体" w:hAnsi="黑体" w:eastAsia="黑体" w:cs="黑体"/>
                <w:sz w:val="32"/>
                <w:szCs w:val="32"/>
              </w:rPr>
            </w:pPr>
            <w:r>
              <w:rPr>
                <w:rFonts w:hint="eastAsia" w:ascii="黑体" w:hAnsi="黑体" w:eastAsia="黑体" w:cs="黑体"/>
                <w:sz w:val="32"/>
                <w:szCs w:val="32"/>
              </w:rPr>
              <w:t>工程项目名称</w:t>
            </w:r>
          </w:p>
        </w:tc>
        <w:tc>
          <w:tcPr>
            <w:tcW w:w="1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5B778">
            <w:pPr>
              <w:widowControl w:val="0"/>
              <w:spacing w:after="0" w:line="400" w:lineRule="exact"/>
              <w:jc w:val="center"/>
              <w:rPr>
                <w:rFonts w:ascii="黑体" w:hAnsi="黑体" w:eastAsia="黑体" w:cs="黑体"/>
                <w:sz w:val="32"/>
                <w:szCs w:val="32"/>
              </w:rPr>
            </w:pPr>
            <w:r>
              <w:rPr>
                <w:rFonts w:hint="eastAsia" w:ascii="黑体" w:hAnsi="黑体" w:eastAsia="黑体" w:cs="黑体"/>
                <w:sz w:val="32"/>
                <w:szCs w:val="32"/>
              </w:rPr>
              <w:t>建设内容及规模</w:t>
            </w:r>
          </w:p>
        </w:tc>
      </w:tr>
      <w:tr w14:paraId="67854682">
        <w:tblPrEx>
          <w:tblCellMar>
            <w:top w:w="0" w:type="dxa"/>
            <w:left w:w="108" w:type="dxa"/>
            <w:bottom w:w="0" w:type="dxa"/>
            <w:right w:w="108" w:type="dxa"/>
          </w:tblCellMar>
        </w:tblPrEx>
        <w:trPr>
          <w:cantSplit/>
          <w:trHeight w:val="579"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47644">
            <w:pPr>
              <w:widowControl w:val="0"/>
              <w:adjustRightInd/>
              <w:snapToGrid/>
              <w:spacing w:after="0" w:line="400" w:lineRule="exact"/>
              <w:jc w:val="center"/>
              <w:rPr>
                <w:rFonts w:ascii="黑体" w:hAnsi="黑体" w:eastAsia="黑体" w:cs="黑体"/>
                <w:sz w:val="30"/>
                <w:szCs w:val="30"/>
              </w:rPr>
            </w:pPr>
            <w:r>
              <w:rPr>
                <w:rFonts w:hint="eastAsia" w:ascii="黑体" w:hAnsi="黑体" w:eastAsia="黑体" w:cs="黑体"/>
                <w:sz w:val="30"/>
                <w:szCs w:val="30"/>
              </w:rPr>
              <w:t>一</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5792E">
            <w:pPr>
              <w:widowControl w:val="0"/>
              <w:adjustRightInd/>
              <w:snapToGrid/>
              <w:spacing w:after="0" w:line="400" w:lineRule="exact"/>
              <w:jc w:val="center"/>
              <w:rPr>
                <w:rFonts w:ascii="黑体" w:hAnsi="黑体" w:eastAsia="黑体" w:cs="黑体"/>
                <w:sz w:val="30"/>
                <w:szCs w:val="30"/>
              </w:rPr>
            </w:pPr>
            <w:r>
              <w:rPr>
                <w:rFonts w:hint="eastAsia" w:ascii="黑体" w:hAnsi="黑体" w:eastAsia="黑体" w:cs="黑体"/>
                <w:sz w:val="30"/>
                <w:szCs w:val="30"/>
              </w:rPr>
              <w:t>高水平保护</w:t>
            </w:r>
          </w:p>
        </w:tc>
        <w:tc>
          <w:tcPr>
            <w:tcW w:w="1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686B9">
            <w:pPr>
              <w:widowControl w:val="0"/>
              <w:adjustRightInd/>
              <w:snapToGrid/>
              <w:spacing w:after="0" w:line="400" w:lineRule="exact"/>
              <w:jc w:val="center"/>
              <w:rPr>
                <w:rFonts w:ascii="黑体" w:hAnsi="黑体" w:eastAsia="黑体" w:cs="黑体"/>
                <w:sz w:val="30"/>
                <w:szCs w:val="30"/>
              </w:rPr>
            </w:pPr>
          </w:p>
        </w:tc>
      </w:tr>
      <w:tr w14:paraId="76E2C7A6">
        <w:tblPrEx>
          <w:tblCellMar>
            <w:top w:w="0" w:type="dxa"/>
            <w:left w:w="108" w:type="dxa"/>
            <w:bottom w:w="0" w:type="dxa"/>
            <w:right w:w="108" w:type="dxa"/>
          </w:tblCellMar>
        </w:tblPrEx>
        <w:trPr>
          <w:cantSplit/>
          <w:trHeight w:val="2476"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DD5B9">
            <w:pPr>
              <w:widowControl w:val="0"/>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1</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6748F">
            <w:pPr>
              <w:widowControl w:val="0"/>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自然保护地体系建设</w:t>
            </w:r>
          </w:p>
        </w:tc>
        <w:tc>
          <w:tcPr>
            <w:tcW w:w="1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84327">
            <w:pPr>
              <w:widowControl w:val="0"/>
              <w:spacing w:after="0" w:line="400" w:lineRule="exact"/>
              <w:jc w:val="both"/>
              <w:rPr>
                <w:rFonts w:ascii="仿宋_GB2312" w:hAnsi="仿宋_GB2312" w:eastAsia="仿宋_GB2312" w:cs="仿宋_GB2312"/>
                <w:sz w:val="30"/>
                <w:szCs w:val="30"/>
              </w:rPr>
            </w:pPr>
            <w:r>
              <w:rPr>
                <w:rFonts w:hint="eastAsia" w:ascii="仿宋_GB2312" w:hAnsi="仿宋_GB2312" w:eastAsia="仿宋_GB2312" w:cs="仿宋_GB2312"/>
                <w:sz w:val="30"/>
                <w:szCs w:val="30"/>
              </w:rPr>
              <w:t>持续推进自然保护地规范化建设，并根据整合优化批复的方案，重新编制各保护地总体规划。推进自然保护地管护巡护、监测预警的信息化和智能化管理。“十五五”期间，对洪岩风景名胜区、高岭-瑶里风景名胜区、枫树山森林公园进行基础设施和管护能力提升，完善自然保护地内自然教育与生态体验设施。结合景德镇申遗成功</w:t>
            </w:r>
            <w:r>
              <w:rPr>
                <w:rFonts w:hint="eastAsia" w:ascii="宋体" w:hAnsi="宋体" w:eastAsia="宋体" w:cs="宋体"/>
                <w:sz w:val="30"/>
                <w:szCs w:val="30"/>
              </w:rPr>
              <w:t>后续建设</w:t>
            </w:r>
            <w:r>
              <w:rPr>
                <w:rFonts w:hint="eastAsia" w:ascii="仿宋_GB2312" w:hAnsi="仿宋_GB2312" w:eastAsia="仿宋_GB2312" w:cs="仿宋_GB2312"/>
                <w:sz w:val="30"/>
                <w:szCs w:val="30"/>
              </w:rPr>
              <w:t>及国家陶瓷文化传承创新试验区建设，加强自然科普和森林文化体验设施建设，丰富生态服务产品供给，提升公众生态认知与文化认同。</w:t>
            </w:r>
          </w:p>
        </w:tc>
      </w:tr>
      <w:tr w14:paraId="0F615184">
        <w:tblPrEx>
          <w:tblCellMar>
            <w:top w:w="0" w:type="dxa"/>
            <w:left w:w="108" w:type="dxa"/>
            <w:bottom w:w="0" w:type="dxa"/>
            <w:right w:w="108" w:type="dxa"/>
          </w:tblCellMar>
        </w:tblPrEx>
        <w:trPr>
          <w:cantSplit/>
          <w:trHeight w:val="2127"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26AA0">
            <w:pPr>
              <w:widowControl w:val="0"/>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2</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7EE8C">
            <w:pPr>
              <w:widowControl w:val="0"/>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林质林相精准提升</w:t>
            </w:r>
          </w:p>
        </w:tc>
        <w:tc>
          <w:tcPr>
            <w:tcW w:w="1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18744">
            <w:pPr>
              <w:widowControl w:val="0"/>
              <w:spacing w:after="0" w:line="400" w:lineRule="exact"/>
              <w:jc w:val="both"/>
              <w:rPr>
                <w:rFonts w:ascii="仿宋_GB2312" w:hAnsi="仿宋_GB2312" w:eastAsia="仿宋_GB2312" w:cs="仿宋_GB2312"/>
                <w:sz w:val="30"/>
                <w:szCs w:val="30"/>
              </w:rPr>
            </w:pPr>
            <w:r>
              <w:rPr>
                <w:rFonts w:hint="eastAsia" w:ascii="仿宋_GB2312" w:hAnsi="仿宋_GB2312" w:eastAsia="仿宋_GB2312" w:cs="仿宋_GB2312"/>
                <w:sz w:val="30"/>
                <w:szCs w:val="30"/>
              </w:rPr>
              <w:t>依托国土空间绿化项目，聚焦生态修复、集约经营、彩化提升重点区域，综合采取人工造林（更新）、退化林修复（低产低效林改造）、森林改培、中幼林抚育等技术措施，大力营造乡土阔叶、珍贵用材及彩化树种，加大针叶纯林改培力度，推进林相优化美化，着力改善林分结构，促进森林可持续经营，精准提升森林质量，实施营造林28.86万亩，持续提升森林生态系统稳定性和碳汇能力，筑牢绿色生态屏障。</w:t>
            </w:r>
          </w:p>
        </w:tc>
      </w:tr>
      <w:tr w14:paraId="418CABFD">
        <w:tblPrEx>
          <w:tblCellMar>
            <w:top w:w="0" w:type="dxa"/>
            <w:left w:w="108" w:type="dxa"/>
            <w:bottom w:w="0" w:type="dxa"/>
            <w:right w:w="108" w:type="dxa"/>
          </w:tblCellMar>
        </w:tblPrEx>
        <w:trPr>
          <w:cantSplit/>
          <w:trHeight w:val="2528"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6202C">
            <w:pPr>
              <w:widowControl w:val="0"/>
              <w:spacing w:after="0" w:line="400" w:lineRule="exact"/>
              <w:jc w:val="center"/>
              <w:rPr>
                <w:rFonts w:ascii="仿宋_GB2312" w:hAnsi="仿宋_GB2312" w:eastAsia="仿宋_GB2312" w:cs="仿宋_GB2312"/>
                <w:sz w:val="30"/>
                <w:szCs w:val="30"/>
              </w:rPr>
            </w:pPr>
            <w:r>
              <w:rPr>
                <w:rFonts w:ascii="仿宋_GB2312" w:hAnsi="仿宋_GB2312" w:eastAsia="仿宋_GB2312" w:cs="仿宋_GB2312"/>
                <w:sz w:val="30"/>
                <w:szCs w:val="30"/>
              </w:rPr>
              <w:t>3</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42CD8">
            <w:pPr>
              <w:widowControl w:val="0"/>
              <w:spacing w:after="0" w:line="400" w:lineRule="exact"/>
              <w:jc w:val="center"/>
              <w:rPr>
                <w:rFonts w:ascii="仿宋_GB2312" w:hAnsi="仿宋_GB2312" w:eastAsia="仿宋_GB2312" w:cs="仿宋_GB2312"/>
                <w:sz w:val="30"/>
                <w:szCs w:val="30"/>
              </w:rPr>
            </w:pPr>
            <w:r>
              <w:rPr>
                <w:rFonts w:ascii="仿宋_GB2312" w:hAnsi="仿宋_GB2312" w:eastAsia="仿宋_GB2312" w:cs="仿宋_GB2312"/>
                <w:sz w:val="30"/>
                <w:szCs w:val="30"/>
              </w:rPr>
              <w:t>玉田湖国家湿地公园，昌江河、乐安河流域等湿地生态保护修复</w:t>
            </w:r>
          </w:p>
        </w:tc>
        <w:tc>
          <w:tcPr>
            <w:tcW w:w="1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3EB03">
            <w:pPr>
              <w:widowControl w:val="0"/>
              <w:spacing w:after="0" w:line="400" w:lineRule="exact"/>
              <w:jc w:val="both"/>
              <w:rPr>
                <w:rFonts w:ascii="仿宋_GB2312" w:hAnsi="仿宋_GB2312" w:eastAsia="仿宋_GB2312" w:cs="仿宋_GB2312"/>
                <w:sz w:val="30"/>
                <w:szCs w:val="30"/>
              </w:rPr>
            </w:pPr>
            <w:r>
              <w:rPr>
                <w:rFonts w:hint="eastAsia" w:ascii="仿宋_GB2312" w:hAnsi="仿宋_GB2312" w:eastAsia="仿宋_GB2312" w:cs="仿宋_GB2312"/>
                <w:sz w:val="30"/>
                <w:szCs w:val="30"/>
              </w:rPr>
              <w:t>推进玉田湖国家湿地公园等重要区域湿地生态保护修复，采取生物多样性保护、河湖岸线生态修复、湿地生态补水、湿地植被恢复、水禽栖息地修复建设等措施，实施湿地恢复和综合治理工程。重点围绕玉田湖国家湿地公园、共库等重要湿地的湿地修复，开展湿地科普宣教与智慧监测项目。将玉田湖建成景德镇市湿地综合基地，开展浮梁县昌江上游支流南河水源区</w:t>
            </w:r>
            <w:r>
              <w:rPr>
                <w:rFonts w:ascii="仿宋_GB2312" w:hAnsi="仿宋_GB2312" w:eastAsia="仿宋_GB2312" w:cs="仿宋_GB2312"/>
                <w:sz w:val="30"/>
                <w:szCs w:val="30"/>
              </w:rPr>
              <w:t>(玉田湖湿地)水生态保护修复项目。“十五五”期间，全市实施湿地修复有关项目10处。</w:t>
            </w:r>
          </w:p>
        </w:tc>
      </w:tr>
      <w:tr w14:paraId="6937F441">
        <w:tblPrEx>
          <w:tblCellMar>
            <w:top w:w="0" w:type="dxa"/>
            <w:left w:w="108" w:type="dxa"/>
            <w:bottom w:w="0" w:type="dxa"/>
            <w:right w:w="108" w:type="dxa"/>
          </w:tblCellMar>
        </w:tblPrEx>
        <w:trPr>
          <w:cantSplit/>
          <w:trHeight w:val="2142"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F5FC5">
            <w:pPr>
              <w:widowControl w:val="0"/>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4</w:t>
            </w:r>
          </w:p>
        </w:tc>
        <w:tc>
          <w:tcPr>
            <w:tcW w:w="2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BB7F4">
            <w:pPr>
              <w:widowControl w:val="0"/>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野生动植物保护</w:t>
            </w:r>
          </w:p>
        </w:tc>
        <w:tc>
          <w:tcPr>
            <w:tcW w:w="1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1B3EB">
            <w:pPr>
              <w:widowControl w:val="0"/>
              <w:spacing w:after="0" w:line="400" w:lineRule="exact"/>
              <w:jc w:val="both"/>
              <w:rPr>
                <w:rFonts w:ascii="宋体" w:hAnsi="宋体" w:eastAsia="宋体" w:cs="宋体"/>
                <w:sz w:val="30"/>
                <w:szCs w:val="30"/>
              </w:rPr>
            </w:pPr>
            <w:r>
              <w:rPr>
                <w:rFonts w:hint="eastAsia" w:ascii="仿宋_GB2312" w:hAnsi="仿宋_GB2312" w:eastAsia="仿宋_GB2312" w:cs="仿宋_GB2312"/>
                <w:sz w:val="30"/>
                <w:szCs w:val="30"/>
              </w:rPr>
              <w:t>对域内的列入国家及省级保护的野生动植物结合自然保护地建设工程进行精准保护。完善野生动物收容救护及致害防控体系建设。提升野生动物收容救护中心功能，达到能满足爬行类、鸟类、有蹄类动物的救治能力。加强全国古树名木保护，完善0.64万株古树名木档案，精准实施“一树一策”保护措施。推动乡村古树</w:t>
            </w:r>
            <w:r>
              <w:rPr>
                <w:rFonts w:hint="eastAsia" w:ascii="宋体" w:hAnsi="宋体" w:eastAsia="宋体" w:cs="宋体"/>
                <w:sz w:val="30"/>
                <w:szCs w:val="30"/>
              </w:rPr>
              <w:t>园建设。</w:t>
            </w:r>
          </w:p>
        </w:tc>
      </w:tr>
      <w:tr w14:paraId="704AAFB2">
        <w:tblPrEx>
          <w:tblCellMar>
            <w:top w:w="0" w:type="dxa"/>
            <w:left w:w="108" w:type="dxa"/>
            <w:bottom w:w="0" w:type="dxa"/>
            <w:right w:w="108" w:type="dxa"/>
          </w:tblCellMar>
        </w:tblPrEx>
        <w:trPr>
          <w:cantSplit/>
          <w:trHeight w:val="1390"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B4DDE">
            <w:pPr>
              <w:widowControl w:val="0"/>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5</w:t>
            </w:r>
          </w:p>
        </w:tc>
        <w:tc>
          <w:tcPr>
            <w:tcW w:w="2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F0BCF">
            <w:pPr>
              <w:widowControl w:val="0"/>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生态脆弱区域生态修复</w:t>
            </w:r>
          </w:p>
        </w:tc>
        <w:tc>
          <w:tcPr>
            <w:tcW w:w="1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41CE3">
            <w:pPr>
              <w:widowControl w:val="0"/>
              <w:spacing w:after="0" w:line="400" w:lineRule="exact"/>
              <w:jc w:val="both"/>
              <w:rPr>
                <w:rFonts w:ascii="仿宋_GB2312" w:hAnsi="仿宋_GB2312" w:eastAsia="仿宋_GB2312" w:cs="仿宋_GB2312"/>
                <w:sz w:val="30"/>
                <w:szCs w:val="30"/>
              </w:rPr>
            </w:pPr>
            <w:r>
              <w:rPr>
                <w:rFonts w:hint="eastAsia" w:ascii="仿宋_GB2312" w:hAnsi="仿宋_GB2312" w:eastAsia="仿宋_GB2312" w:cs="仿宋_GB2312"/>
                <w:sz w:val="30"/>
                <w:szCs w:val="30"/>
              </w:rPr>
              <w:t>加强对生态脆弱的地区及废旧矿区实施生态修复。特别是采石、采煤、采土区，铁路、公路隧道口、山体滑坡处等进行生态加固，因地制宜地恢复植被。</w:t>
            </w:r>
          </w:p>
        </w:tc>
      </w:tr>
      <w:tr w14:paraId="584B4E2D">
        <w:tblPrEx>
          <w:tblCellMar>
            <w:top w:w="0" w:type="dxa"/>
            <w:left w:w="108" w:type="dxa"/>
            <w:bottom w:w="0" w:type="dxa"/>
            <w:right w:w="108" w:type="dxa"/>
          </w:tblCellMar>
        </w:tblPrEx>
        <w:trPr>
          <w:cantSplit/>
          <w:trHeight w:val="2348"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FA8E">
            <w:pPr>
              <w:widowControl w:val="0"/>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6</w:t>
            </w:r>
          </w:p>
        </w:tc>
        <w:tc>
          <w:tcPr>
            <w:tcW w:w="2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06239">
            <w:pPr>
              <w:widowControl w:val="0"/>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林业灾害防控与应急能力提升</w:t>
            </w:r>
          </w:p>
        </w:tc>
        <w:tc>
          <w:tcPr>
            <w:tcW w:w="1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95694">
            <w:pPr>
              <w:widowControl w:val="0"/>
              <w:spacing w:after="0" w:line="400" w:lineRule="exact"/>
              <w:jc w:val="both"/>
              <w:rPr>
                <w:rFonts w:ascii="仿宋_GB2312" w:hAnsi="仿宋_GB2312" w:eastAsia="仿宋_GB2312" w:cs="仿宋_GB2312"/>
                <w:sz w:val="30"/>
                <w:szCs w:val="30"/>
              </w:rPr>
            </w:pPr>
            <w:r>
              <w:rPr>
                <w:rFonts w:hint="eastAsia" w:ascii="仿宋_GB2312" w:hAnsi="仿宋_GB2312" w:eastAsia="仿宋_GB2312" w:cs="仿宋_GB2312"/>
                <w:sz w:val="30"/>
                <w:szCs w:val="30"/>
              </w:rPr>
              <w:t>维护森林防火应急道路800公里，新建80公里，建设生物防火阻隔带250公里，布设林火视频监控系统55套，组建灭火通信专网1套，建设森林消防蓄水池3500立方米。加强4个省级林业有害生物重点测报点能力提升建设，年均防治林业有害生物面积10.25万亩。改造提升1个陆生野生动物疫源疫病监测防控监测站点。</w:t>
            </w:r>
          </w:p>
        </w:tc>
      </w:tr>
      <w:tr w14:paraId="4E0480F2">
        <w:tblPrEx>
          <w:tblCellMar>
            <w:top w:w="0" w:type="dxa"/>
            <w:left w:w="108" w:type="dxa"/>
            <w:bottom w:w="0" w:type="dxa"/>
            <w:right w:w="108" w:type="dxa"/>
          </w:tblCellMar>
        </w:tblPrEx>
        <w:trPr>
          <w:cantSplit/>
          <w:trHeight w:val="637"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9ABC2">
            <w:pPr>
              <w:widowControl w:val="0"/>
              <w:adjustRightInd/>
              <w:snapToGrid/>
              <w:spacing w:after="0" w:line="400" w:lineRule="exact"/>
              <w:jc w:val="center"/>
              <w:rPr>
                <w:rFonts w:ascii="黑体" w:hAnsi="黑体" w:eastAsia="黑体" w:cs="黑体"/>
                <w:sz w:val="30"/>
                <w:szCs w:val="30"/>
              </w:rPr>
            </w:pPr>
            <w:r>
              <w:rPr>
                <w:rFonts w:hint="eastAsia" w:ascii="黑体" w:hAnsi="黑体" w:eastAsia="黑体" w:cs="黑体"/>
                <w:sz w:val="30"/>
                <w:szCs w:val="30"/>
              </w:rPr>
              <w:t>二</w:t>
            </w:r>
          </w:p>
        </w:tc>
        <w:tc>
          <w:tcPr>
            <w:tcW w:w="2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40EAB">
            <w:pPr>
              <w:widowControl w:val="0"/>
              <w:adjustRightInd/>
              <w:snapToGrid/>
              <w:spacing w:after="0" w:line="400" w:lineRule="exact"/>
              <w:jc w:val="center"/>
              <w:rPr>
                <w:rFonts w:ascii="黑体" w:hAnsi="黑体" w:eastAsia="黑体" w:cs="黑体"/>
                <w:sz w:val="30"/>
                <w:szCs w:val="30"/>
              </w:rPr>
            </w:pPr>
            <w:r>
              <w:rPr>
                <w:rFonts w:hint="eastAsia" w:ascii="黑体" w:hAnsi="黑体" w:eastAsia="黑体" w:cs="黑体"/>
                <w:sz w:val="30"/>
                <w:szCs w:val="30"/>
              </w:rPr>
              <w:t>高质量发展</w:t>
            </w:r>
          </w:p>
        </w:tc>
        <w:tc>
          <w:tcPr>
            <w:tcW w:w="1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A383B">
            <w:pPr>
              <w:widowControl w:val="0"/>
              <w:adjustRightInd/>
              <w:snapToGrid/>
              <w:spacing w:after="0" w:line="400" w:lineRule="exact"/>
              <w:jc w:val="center"/>
              <w:rPr>
                <w:rFonts w:ascii="黑体" w:hAnsi="黑体" w:eastAsia="黑体" w:cs="黑体"/>
                <w:sz w:val="30"/>
                <w:szCs w:val="30"/>
              </w:rPr>
            </w:pPr>
          </w:p>
        </w:tc>
      </w:tr>
      <w:tr w14:paraId="26EDEBF9">
        <w:tblPrEx>
          <w:tblCellMar>
            <w:top w:w="0" w:type="dxa"/>
            <w:left w:w="108" w:type="dxa"/>
            <w:bottom w:w="0" w:type="dxa"/>
            <w:right w:w="108" w:type="dxa"/>
          </w:tblCellMar>
        </w:tblPrEx>
        <w:trPr>
          <w:cantSplit/>
          <w:trHeight w:val="2033"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B82EF">
            <w:pPr>
              <w:widowControl w:val="0"/>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7</w:t>
            </w:r>
          </w:p>
        </w:tc>
        <w:tc>
          <w:tcPr>
            <w:tcW w:w="2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E3369">
            <w:pPr>
              <w:widowControl w:val="0"/>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油茶产业提质增效</w:t>
            </w:r>
          </w:p>
        </w:tc>
        <w:tc>
          <w:tcPr>
            <w:tcW w:w="1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42119">
            <w:pPr>
              <w:widowControl w:val="0"/>
              <w:spacing w:after="0" w:line="400" w:lineRule="exact"/>
              <w:jc w:val="both"/>
              <w:rPr>
                <w:rFonts w:ascii="仿宋_GB2312" w:hAnsi="仿宋_GB2312" w:eastAsia="仿宋_GB2312" w:cs="仿宋_GB2312"/>
                <w:sz w:val="30"/>
                <w:szCs w:val="30"/>
              </w:rPr>
            </w:pPr>
            <w:r>
              <w:rPr>
                <w:rFonts w:hint="eastAsia" w:ascii="仿宋_GB2312" w:hAnsi="仿宋_GB2312" w:eastAsia="仿宋_GB2312" w:cs="仿宋_GB2312"/>
                <w:sz w:val="30"/>
                <w:szCs w:val="30"/>
              </w:rPr>
              <w:t>持续推进现有油茶林提质改造，加强生产作业道路、水肥一体化等基础设施建设，建设标准化高产油茶基地。强化科技创新，推广林机装备应用、促进高附加值加工利用成果转化，开发新产品，延伸产业链。新建高标准油茶基地0.3万亩、修建生产作业道路40公里，到2030年，全市茶油年产量达0.6万吨。</w:t>
            </w:r>
          </w:p>
        </w:tc>
      </w:tr>
      <w:tr w14:paraId="3FA76205">
        <w:tblPrEx>
          <w:tblCellMar>
            <w:top w:w="0" w:type="dxa"/>
            <w:left w:w="108" w:type="dxa"/>
            <w:bottom w:w="0" w:type="dxa"/>
            <w:right w:w="108" w:type="dxa"/>
          </w:tblCellMar>
        </w:tblPrEx>
        <w:trPr>
          <w:cantSplit/>
          <w:trHeight w:val="2233"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7FECD">
            <w:pPr>
              <w:widowControl w:val="0"/>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8</w:t>
            </w:r>
          </w:p>
        </w:tc>
        <w:tc>
          <w:tcPr>
            <w:tcW w:w="2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6DFDB">
            <w:pPr>
              <w:widowControl w:val="0"/>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提升竹林质量，壮大竹产业</w:t>
            </w:r>
          </w:p>
        </w:tc>
        <w:tc>
          <w:tcPr>
            <w:tcW w:w="1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A9396">
            <w:pPr>
              <w:widowControl w:val="0"/>
              <w:spacing w:after="0" w:line="400" w:lineRule="exact"/>
              <w:jc w:val="both"/>
              <w:rPr>
                <w:rFonts w:ascii="仿宋_GB2312" w:hAnsi="仿宋_GB2312" w:eastAsia="仿宋_GB2312" w:cs="仿宋_GB2312"/>
                <w:sz w:val="30"/>
                <w:szCs w:val="30"/>
              </w:rPr>
            </w:pPr>
            <w:r>
              <w:rPr>
                <w:rFonts w:hint="eastAsia" w:ascii="仿宋_GB2312" w:hAnsi="仿宋_GB2312" w:eastAsia="仿宋_GB2312" w:cs="仿宋_GB2312"/>
                <w:sz w:val="30"/>
                <w:szCs w:val="30"/>
              </w:rPr>
              <w:t>分类经营、定向培育，科学留养、机械采收技术措施，完善作业道路与轻简化运输装备体系，推广无人壮机采集，降低经营成本，提升竹林集约经营水平。在此基础上，推动高端竹建材产品上市，不断拓展“以竹代塑、以竹代木、以竹代钢”应用场景。全市“十五五”期间实施毛竹低产林改造5.5万亩，全市毛竹丰产林“十五五”期末达到10万亩，竹产业年产值达到120000万元。</w:t>
            </w:r>
          </w:p>
        </w:tc>
      </w:tr>
      <w:tr w14:paraId="654550EF">
        <w:tblPrEx>
          <w:tblCellMar>
            <w:top w:w="0" w:type="dxa"/>
            <w:left w:w="108" w:type="dxa"/>
            <w:bottom w:w="0" w:type="dxa"/>
            <w:right w:w="108" w:type="dxa"/>
          </w:tblCellMar>
        </w:tblPrEx>
        <w:trPr>
          <w:cantSplit/>
          <w:trHeight w:val="2306"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076B3">
            <w:pPr>
              <w:widowControl w:val="0"/>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9</w:t>
            </w:r>
          </w:p>
        </w:tc>
        <w:tc>
          <w:tcPr>
            <w:tcW w:w="2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F139B">
            <w:pPr>
              <w:widowControl w:val="0"/>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林下经济扩面培优</w:t>
            </w:r>
          </w:p>
        </w:tc>
        <w:tc>
          <w:tcPr>
            <w:tcW w:w="1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048B5">
            <w:pPr>
              <w:widowControl w:val="0"/>
              <w:spacing w:after="0" w:line="400" w:lineRule="exact"/>
              <w:jc w:val="both"/>
              <w:rPr>
                <w:rFonts w:ascii="仿宋_GB2312" w:hAnsi="仿宋_GB2312" w:eastAsia="仿宋_GB2312" w:cs="仿宋_GB2312"/>
                <w:sz w:val="30"/>
                <w:szCs w:val="30"/>
              </w:rPr>
            </w:pPr>
            <w:r>
              <w:rPr>
                <w:rFonts w:hint="eastAsia" w:ascii="仿宋_GB2312" w:hAnsi="仿宋_GB2312" w:eastAsia="仿宋_GB2312" w:cs="仿宋_GB2312"/>
                <w:sz w:val="30"/>
                <w:szCs w:val="30"/>
              </w:rPr>
              <w:t>依托森林空间，因地制宜发展林下仿野生中药材、食药用菌种植，生态养殖及林下产品保护性采集加工。推广林药、林菌、林牧、林游等生态复合经营模式和“立体化+生态化”复合利用模式，新建森林药材、森林食品等基地3万亩，森林食品年产量达到1.2万吨。提升建设一批森林康养基地和户外运动场所，在三宝瓷谷、湘湖进坑、瑶里高岭等地打造一批具有瓷都特色的林业生态研学线路。</w:t>
            </w:r>
          </w:p>
        </w:tc>
      </w:tr>
      <w:tr w14:paraId="502240CA">
        <w:tblPrEx>
          <w:tblCellMar>
            <w:top w:w="0" w:type="dxa"/>
            <w:left w:w="108" w:type="dxa"/>
            <w:bottom w:w="0" w:type="dxa"/>
            <w:right w:w="108" w:type="dxa"/>
          </w:tblCellMar>
        </w:tblPrEx>
        <w:trPr>
          <w:cantSplit/>
          <w:trHeight w:val="1037"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1B615">
            <w:pPr>
              <w:widowControl w:val="0"/>
              <w:adjustRightInd/>
              <w:snapToGrid/>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10</w:t>
            </w:r>
          </w:p>
        </w:tc>
        <w:tc>
          <w:tcPr>
            <w:tcW w:w="2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6D72E">
            <w:pPr>
              <w:widowControl w:val="0"/>
              <w:adjustRightInd/>
              <w:snapToGrid/>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国家储备林建设</w:t>
            </w:r>
          </w:p>
        </w:tc>
        <w:tc>
          <w:tcPr>
            <w:tcW w:w="1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29E9E">
            <w:pPr>
              <w:widowControl w:val="0"/>
              <w:adjustRightInd/>
              <w:snapToGrid/>
              <w:spacing w:after="0" w:line="400" w:lineRule="exact"/>
              <w:jc w:val="both"/>
              <w:rPr>
                <w:rFonts w:ascii="仿宋_GB2312" w:hAnsi="仿宋_GB2312" w:eastAsia="仿宋_GB2312" w:cs="仿宋_GB2312"/>
                <w:sz w:val="30"/>
                <w:szCs w:val="30"/>
              </w:rPr>
            </w:pPr>
            <w:r>
              <w:rPr>
                <w:rFonts w:hint="eastAsia" w:ascii="仿宋_GB2312" w:hAnsi="仿宋_GB2312" w:eastAsia="仿宋_GB2312" w:cs="仿宋_GB2312"/>
                <w:sz w:val="30"/>
                <w:szCs w:val="30"/>
              </w:rPr>
              <w:t>通过集约人工林栽培、现有林改培、中幼林抚育，加强国家储备林项目建设，培育大径级用材林，提升林分蓄积与森林固碳增汇能力。建设国家储备林9.81万亩。</w:t>
            </w:r>
          </w:p>
        </w:tc>
      </w:tr>
      <w:tr w14:paraId="73038B5F">
        <w:tblPrEx>
          <w:tblCellMar>
            <w:top w:w="0" w:type="dxa"/>
            <w:left w:w="108" w:type="dxa"/>
            <w:bottom w:w="0" w:type="dxa"/>
            <w:right w:w="108" w:type="dxa"/>
          </w:tblCellMar>
        </w:tblPrEx>
        <w:trPr>
          <w:cantSplit/>
          <w:trHeight w:val="298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4627A">
            <w:pPr>
              <w:widowControl w:val="0"/>
              <w:adjustRightInd/>
              <w:snapToGrid/>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11</w:t>
            </w:r>
          </w:p>
        </w:tc>
        <w:tc>
          <w:tcPr>
            <w:tcW w:w="2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F20F9">
            <w:pPr>
              <w:widowControl w:val="0"/>
              <w:adjustRightInd/>
              <w:snapToGrid/>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现代化国有林场建设</w:t>
            </w:r>
          </w:p>
        </w:tc>
        <w:tc>
          <w:tcPr>
            <w:tcW w:w="1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6E89E">
            <w:pPr>
              <w:widowControl w:val="0"/>
              <w:adjustRightInd/>
              <w:snapToGrid/>
              <w:spacing w:after="0" w:line="400" w:lineRule="exact"/>
              <w:jc w:val="both"/>
              <w:rPr>
                <w:rFonts w:ascii="仿宋_GB2312" w:hAnsi="仿宋_GB2312" w:eastAsia="仿宋_GB2312" w:cs="仿宋_GB2312"/>
                <w:sz w:val="30"/>
                <w:szCs w:val="30"/>
              </w:rPr>
            </w:pPr>
            <w:r>
              <w:rPr>
                <w:rFonts w:hint="eastAsia" w:ascii="仿宋_GB2312" w:hAnsi="仿宋_GB2312" w:eastAsia="仿宋_GB2312" w:cs="仿宋_GB2312"/>
                <w:sz w:val="30"/>
                <w:szCs w:val="30"/>
              </w:rPr>
              <w:t>加快枫树山林场、银坞林场现代化建设。探索通过“三支一扶”公开招聘等方式着力解决国有林场专业技术人员断档紧缺问题。探索在生态重要区域以收购、赎买、置换等方式增加国有林比重，鼓励和引导国有林场和乡村集体开展“场村”联营，推行“以场带村”，创新联营带动模式。加快推动生态保护装备、生产作业机械装备应用，新建、维修改造林场内部道路</w:t>
            </w:r>
            <w:r>
              <w:rPr>
                <w:rFonts w:hint="eastAsia" w:ascii="宋体" w:hAnsi="宋体" w:eastAsia="宋体" w:cs="宋体"/>
                <w:sz w:val="30"/>
                <w:szCs w:val="30"/>
                <w:lang w:val="en-US" w:eastAsia="zh-CN"/>
              </w:rPr>
              <w:t>271</w:t>
            </w:r>
            <w:r>
              <w:rPr>
                <w:rFonts w:hint="eastAsia" w:ascii="仿宋_GB2312" w:hAnsi="仿宋_GB2312" w:eastAsia="仿宋_GB2312" w:cs="仿宋_GB2312"/>
                <w:sz w:val="30"/>
                <w:szCs w:val="30"/>
              </w:rPr>
              <w:t>公里，同步加快通水、通电、通网等基础设施建设。新增场外造林面积</w:t>
            </w:r>
            <w:r>
              <w:rPr>
                <w:rFonts w:hint="eastAsia" w:ascii="宋体" w:hAnsi="宋体" w:eastAsia="宋体" w:cs="宋体"/>
                <w:sz w:val="30"/>
                <w:szCs w:val="30"/>
                <w:lang w:val="en-US" w:eastAsia="zh-CN"/>
              </w:rPr>
              <w:t>0.4</w:t>
            </w:r>
            <w:r>
              <w:rPr>
                <w:rFonts w:hint="eastAsia" w:ascii="仿宋_GB2312" w:hAnsi="仿宋_GB2312" w:eastAsia="仿宋_GB2312" w:cs="仿宋_GB2312"/>
                <w:sz w:val="30"/>
                <w:szCs w:val="30"/>
              </w:rPr>
              <w:t xml:space="preserve"> 万亩，实施“百场兴百业百场带百村”项目</w:t>
            </w:r>
            <w:r>
              <w:rPr>
                <w:rFonts w:hint="eastAsia" w:ascii="宋体" w:hAnsi="宋体" w:eastAsia="宋体" w:cs="宋体"/>
                <w:sz w:val="30"/>
                <w:szCs w:val="30"/>
                <w:lang w:val="en-US" w:eastAsia="zh-CN"/>
              </w:rPr>
              <w:t>7</w:t>
            </w:r>
            <w:r>
              <w:rPr>
                <w:rFonts w:hint="eastAsia" w:ascii="仿宋_GB2312" w:hAnsi="仿宋_GB2312" w:eastAsia="仿宋_GB2312" w:cs="仿宋_GB2312"/>
                <w:sz w:val="30"/>
                <w:szCs w:val="30"/>
              </w:rPr>
              <w:t xml:space="preserve"> 个。</w:t>
            </w:r>
          </w:p>
        </w:tc>
      </w:tr>
      <w:tr w14:paraId="7CAE790B">
        <w:tblPrEx>
          <w:tblCellMar>
            <w:top w:w="0" w:type="dxa"/>
            <w:left w:w="108" w:type="dxa"/>
            <w:bottom w:w="0" w:type="dxa"/>
            <w:right w:w="108" w:type="dxa"/>
          </w:tblCellMar>
        </w:tblPrEx>
        <w:trPr>
          <w:cantSplit/>
          <w:trHeight w:val="1999"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01E74">
            <w:pPr>
              <w:widowControl w:val="0"/>
              <w:adjustRightInd/>
              <w:snapToGrid/>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12</w:t>
            </w:r>
          </w:p>
        </w:tc>
        <w:tc>
          <w:tcPr>
            <w:tcW w:w="2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5F7B8">
            <w:pPr>
              <w:widowControl w:val="0"/>
              <w:adjustRightInd/>
              <w:snapToGrid/>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现代化林业产业服务体系建设</w:t>
            </w:r>
          </w:p>
        </w:tc>
        <w:tc>
          <w:tcPr>
            <w:tcW w:w="1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64C4A">
            <w:pPr>
              <w:widowControl w:val="0"/>
              <w:adjustRightInd/>
              <w:snapToGrid/>
              <w:spacing w:after="0" w:line="400" w:lineRule="exact"/>
              <w:jc w:val="both"/>
              <w:rPr>
                <w:rFonts w:ascii="仿宋_GB2312" w:hAnsi="仿宋_GB2312" w:eastAsia="仿宋_GB2312" w:cs="仿宋_GB2312"/>
                <w:sz w:val="30"/>
                <w:szCs w:val="30"/>
              </w:rPr>
            </w:pPr>
            <w:r>
              <w:rPr>
                <w:rFonts w:hint="eastAsia" w:ascii="仿宋_GB2312" w:hAnsi="仿宋_GB2312" w:eastAsia="仿宋_GB2312" w:cs="仿宋_GB2312"/>
                <w:sz w:val="30"/>
                <w:szCs w:val="30"/>
              </w:rPr>
              <w:t>引育领军型龙头企业，着力打造特色产业链，形成二产带一产促三产的“三产融合”发展格局。完善联农带农长效机制，助力乡村振兴。依托资源分区域建设3个油茶仓储及加工基地、2个森林药材加工基地，1个竹制品产业园，根据市场导向适时组建赣东北林产品综合交易市场。</w:t>
            </w:r>
          </w:p>
        </w:tc>
      </w:tr>
      <w:tr w14:paraId="7B82D577">
        <w:tblPrEx>
          <w:tblCellMar>
            <w:top w:w="0" w:type="dxa"/>
            <w:left w:w="108" w:type="dxa"/>
            <w:bottom w:w="0" w:type="dxa"/>
            <w:right w:w="108" w:type="dxa"/>
          </w:tblCellMar>
        </w:tblPrEx>
        <w:trPr>
          <w:cantSplit/>
          <w:trHeight w:val="1140"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962A4">
            <w:pPr>
              <w:widowControl w:val="0"/>
              <w:adjustRightInd/>
              <w:snapToGrid/>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13</w:t>
            </w:r>
          </w:p>
        </w:tc>
        <w:tc>
          <w:tcPr>
            <w:tcW w:w="2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8BB13">
            <w:pPr>
              <w:widowControl w:val="0"/>
              <w:adjustRightInd/>
              <w:snapToGrid/>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碳汇产业建设</w:t>
            </w:r>
          </w:p>
        </w:tc>
        <w:tc>
          <w:tcPr>
            <w:tcW w:w="1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D0EB9">
            <w:pPr>
              <w:widowControl w:val="0"/>
              <w:adjustRightInd/>
              <w:snapToGrid/>
              <w:spacing w:after="0" w:line="400" w:lineRule="exact"/>
              <w:jc w:val="both"/>
              <w:rPr>
                <w:rFonts w:ascii="仿宋_GB2312" w:hAnsi="仿宋_GB2312" w:eastAsia="仿宋_GB2312" w:cs="仿宋_GB2312"/>
                <w:sz w:val="30"/>
                <w:szCs w:val="30"/>
              </w:rPr>
            </w:pPr>
            <w:r>
              <w:rPr>
                <w:rFonts w:hint="eastAsia" w:ascii="仿宋_GB2312" w:hAnsi="仿宋_GB2312" w:eastAsia="仿宋_GB2312" w:cs="仿宋_GB2312"/>
                <w:sz w:val="30"/>
                <w:szCs w:val="30"/>
              </w:rPr>
              <w:t>以国家实现“碳达峰、碳中和”的战略目标出台的碳汇产业政策、措施，大力发展景德镇市碳汇产业。</w:t>
            </w:r>
            <w:r>
              <w:rPr>
                <w:rFonts w:hint="eastAsia" w:ascii="仿宋_GB2312" w:hAnsi="仿宋_GB2312" w:eastAsia="仿宋_GB2312" w:cs="仿宋_GB2312"/>
                <w:color w:val="auto"/>
                <w:sz w:val="30"/>
                <w:szCs w:val="30"/>
              </w:rPr>
              <w:t>建设一支碳汇调查、监测与计量的队伍。</w:t>
            </w:r>
          </w:p>
        </w:tc>
      </w:tr>
      <w:tr w14:paraId="26710A0E">
        <w:tblPrEx>
          <w:tblCellMar>
            <w:top w:w="0" w:type="dxa"/>
            <w:left w:w="108" w:type="dxa"/>
            <w:bottom w:w="0" w:type="dxa"/>
            <w:right w:w="108" w:type="dxa"/>
          </w:tblCellMar>
        </w:tblPrEx>
        <w:trPr>
          <w:cantSplit/>
          <w:trHeight w:val="878"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0AB3A">
            <w:pPr>
              <w:widowControl w:val="0"/>
              <w:adjustRightInd/>
              <w:snapToGrid/>
              <w:spacing w:after="0" w:line="400" w:lineRule="exact"/>
              <w:jc w:val="center"/>
              <w:rPr>
                <w:rFonts w:ascii="黑体" w:hAnsi="黑体" w:eastAsia="黑体" w:cs="黑体"/>
                <w:sz w:val="30"/>
                <w:szCs w:val="30"/>
              </w:rPr>
            </w:pPr>
            <w:r>
              <w:rPr>
                <w:rFonts w:hint="eastAsia" w:ascii="黑体" w:hAnsi="黑体" w:eastAsia="黑体" w:cs="黑体"/>
                <w:sz w:val="30"/>
                <w:szCs w:val="30"/>
              </w:rPr>
              <w:t>三</w:t>
            </w:r>
          </w:p>
        </w:tc>
        <w:tc>
          <w:tcPr>
            <w:tcW w:w="2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D2B2E">
            <w:pPr>
              <w:widowControl w:val="0"/>
              <w:adjustRightInd/>
              <w:snapToGrid/>
              <w:spacing w:after="0" w:line="400" w:lineRule="exact"/>
              <w:jc w:val="center"/>
              <w:rPr>
                <w:rFonts w:ascii="黑体" w:hAnsi="黑体" w:eastAsia="黑体" w:cs="黑体"/>
                <w:sz w:val="30"/>
                <w:szCs w:val="30"/>
              </w:rPr>
            </w:pPr>
            <w:r>
              <w:rPr>
                <w:rFonts w:hint="eastAsia" w:ascii="黑体" w:hAnsi="黑体" w:eastAsia="黑体" w:cs="黑体"/>
                <w:sz w:val="30"/>
                <w:szCs w:val="30"/>
              </w:rPr>
              <w:t>高效能治理</w:t>
            </w:r>
          </w:p>
        </w:tc>
        <w:tc>
          <w:tcPr>
            <w:tcW w:w="1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57459">
            <w:pPr>
              <w:widowControl w:val="0"/>
              <w:adjustRightInd/>
              <w:snapToGrid/>
              <w:spacing w:after="0" w:line="400" w:lineRule="exact"/>
              <w:jc w:val="center"/>
              <w:rPr>
                <w:rFonts w:ascii="黑体" w:hAnsi="黑体" w:eastAsia="黑体" w:cs="黑体"/>
                <w:sz w:val="30"/>
                <w:szCs w:val="30"/>
              </w:rPr>
            </w:pPr>
          </w:p>
        </w:tc>
      </w:tr>
      <w:tr w14:paraId="284D0E67">
        <w:tblPrEx>
          <w:tblCellMar>
            <w:top w:w="0" w:type="dxa"/>
            <w:left w:w="108" w:type="dxa"/>
            <w:bottom w:w="0" w:type="dxa"/>
            <w:right w:w="108" w:type="dxa"/>
          </w:tblCellMar>
        </w:tblPrEx>
        <w:trPr>
          <w:cantSplit/>
          <w:trHeight w:val="3719"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5AC81">
            <w:pPr>
              <w:widowControl w:val="0"/>
              <w:adjustRightInd/>
              <w:snapToGrid/>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14</w:t>
            </w:r>
          </w:p>
        </w:tc>
        <w:tc>
          <w:tcPr>
            <w:tcW w:w="2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CB85D">
            <w:pPr>
              <w:widowControl w:val="0"/>
              <w:adjustRightInd/>
              <w:snapToGrid/>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打造林长制升级版</w:t>
            </w:r>
          </w:p>
        </w:tc>
        <w:tc>
          <w:tcPr>
            <w:tcW w:w="1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74E61">
            <w:pPr>
              <w:widowControl w:val="0"/>
              <w:adjustRightInd/>
              <w:snapToGrid/>
              <w:spacing w:after="0" w:line="400" w:lineRule="exact"/>
              <w:jc w:val="both"/>
              <w:rPr>
                <w:rFonts w:ascii="仿宋_GB2312" w:hAnsi="仿宋_GB2312" w:eastAsia="仿宋_GB2312" w:cs="仿宋_GB2312"/>
                <w:sz w:val="30"/>
                <w:szCs w:val="30"/>
              </w:rPr>
            </w:pPr>
            <w:r>
              <w:rPr>
                <w:rFonts w:hint="eastAsia" w:ascii="仿宋_GB2312" w:hAnsi="仿宋_GB2312" w:eastAsia="仿宋_GB2312" w:cs="仿宋_GB2312"/>
                <w:sz w:val="30"/>
                <w:szCs w:val="30"/>
              </w:rPr>
              <w:t>严格执行总林长巡林清单和“三单一函”制度，进一步规范林长履职行为，完善各级林长制工作体系，理顺“一长两员”工作机制，健全林长巡林跟踪问效和问题整改闭环机制。组织开展护林员能力素质提升三年行动，推动护林员“一员变五员”。健全“林长+警长+检察长+法院院长”协作机制，推动部门协作从“联席会商”向“联治联动”升级。优化升级林长制数字管理平台，推动基层林业数据共享与业务协同。推广“赣林码上通”,争取实现重点林区、敏感林区扫码监督全覆盖。到2030年，护林员有效巡护率、监管员上报事件处置率达95%以上，护林员巡护发现问题与违法破坏林业资源情况对比一致率达90%以上</w:t>
            </w:r>
          </w:p>
        </w:tc>
      </w:tr>
      <w:tr w14:paraId="2A1B06BD">
        <w:tblPrEx>
          <w:tblCellMar>
            <w:top w:w="0" w:type="dxa"/>
            <w:left w:w="108" w:type="dxa"/>
            <w:bottom w:w="0" w:type="dxa"/>
            <w:right w:w="108" w:type="dxa"/>
          </w:tblCellMar>
        </w:tblPrEx>
        <w:trPr>
          <w:cantSplit/>
          <w:trHeight w:val="4008"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D6D0A">
            <w:pPr>
              <w:widowControl w:val="0"/>
              <w:adjustRightInd/>
              <w:snapToGrid/>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15</w:t>
            </w:r>
          </w:p>
        </w:tc>
        <w:tc>
          <w:tcPr>
            <w:tcW w:w="2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BD830">
            <w:pPr>
              <w:widowControl w:val="0"/>
              <w:adjustRightInd/>
              <w:snapToGrid/>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深化集体林权制度改革</w:t>
            </w:r>
          </w:p>
        </w:tc>
        <w:tc>
          <w:tcPr>
            <w:tcW w:w="1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CE9FE">
            <w:pPr>
              <w:widowControl w:val="0"/>
              <w:adjustRightInd/>
              <w:snapToGrid/>
              <w:spacing w:after="0" w:line="400" w:lineRule="exact"/>
              <w:jc w:val="both"/>
              <w:rPr>
                <w:rFonts w:ascii="仿宋_GB2312" w:hAnsi="仿宋_GB2312" w:eastAsia="仿宋_GB2312" w:cs="仿宋_GB2312"/>
                <w:sz w:val="30"/>
                <w:szCs w:val="30"/>
              </w:rPr>
            </w:pPr>
            <w:r>
              <w:rPr>
                <w:rFonts w:hint="eastAsia" w:ascii="仿宋_GB2312" w:hAnsi="仿宋_GB2312" w:eastAsia="仿宋_GB2312" w:cs="仿宋_GB2312"/>
                <w:sz w:val="30"/>
                <w:szCs w:val="30"/>
              </w:rPr>
              <w:t>夯实“林长+林改”工作机制，加强林地承包经营管理，依法推进集体林地延包，深化畅通林权登记改革，推动林权管理服务系统与不动产登记系统互联互通，实现林地承包、林权流转与登记业务协同联动，妥善化解历史遗留问题，高效便捷办理林权登记。推进公益林优化调整与科学管理，释放林业发展空间。深化林业经营收益权证管理，支持工商企业等社会资本流转林下空间、森林环境等经营收益权，发展林业新业态。进一步优化林木采伐管理，促进集体林经营良性循环。加强林业片区服务中心能力建设。培育林事服务中心等林业社会化服务组织，壮大新型林业经营主体。试点开展“林业标准地”建设，科学配置林地生产要素，满足社会资本“拎包入住”要求，招引有实力的社会资本“进山入林”。</w:t>
            </w:r>
          </w:p>
        </w:tc>
      </w:tr>
      <w:tr w14:paraId="78F6FD46">
        <w:tblPrEx>
          <w:tblCellMar>
            <w:top w:w="0" w:type="dxa"/>
            <w:left w:w="108" w:type="dxa"/>
            <w:bottom w:w="0" w:type="dxa"/>
            <w:right w:w="108" w:type="dxa"/>
          </w:tblCellMar>
        </w:tblPrEx>
        <w:trPr>
          <w:cantSplit/>
          <w:trHeight w:val="1881"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5AC49">
            <w:pPr>
              <w:widowControl w:val="0"/>
              <w:adjustRightInd/>
              <w:snapToGrid/>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16</w:t>
            </w:r>
          </w:p>
        </w:tc>
        <w:tc>
          <w:tcPr>
            <w:tcW w:w="2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E738F">
            <w:pPr>
              <w:widowControl w:val="0"/>
              <w:adjustRightInd/>
              <w:snapToGrid/>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智慧林业数字化赋能平台应用</w:t>
            </w:r>
          </w:p>
        </w:tc>
        <w:tc>
          <w:tcPr>
            <w:tcW w:w="1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212EE">
            <w:pPr>
              <w:widowControl w:val="0"/>
              <w:adjustRightInd/>
              <w:snapToGrid/>
              <w:spacing w:after="0" w:line="400" w:lineRule="exact"/>
              <w:jc w:val="both"/>
              <w:rPr>
                <w:rFonts w:ascii="仿宋_GB2312" w:hAnsi="仿宋_GB2312" w:eastAsia="仿宋_GB2312" w:cs="仿宋_GB2312"/>
                <w:sz w:val="30"/>
                <w:szCs w:val="30"/>
              </w:rPr>
            </w:pPr>
            <w:r>
              <w:rPr>
                <w:rFonts w:hint="eastAsia" w:ascii="仿宋_GB2312" w:hAnsi="仿宋_GB2312" w:eastAsia="仿宋_GB2312" w:cs="仿宋_GB2312"/>
                <w:sz w:val="30"/>
                <w:szCs w:val="30"/>
              </w:rPr>
              <w:t>紧密对接省级智慧林业项目，进一步完善视频监控、无人机、物联网等立体化感知体系，提升在资源监测、病虫害防控、综合应急的等方面的综合能力。实现林业资源动态“一网感知、实时响应”。健全智慧林业法规与标准体系，实现数据从采集到应用全过程标准化管理与全域共享。</w:t>
            </w:r>
          </w:p>
        </w:tc>
      </w:tr>
      <w:tr w14:paraId="410334D4">
        <w:tblPrEx>
          <w:tblCellMar>
            <w:top w:w="0" w:type="dxa"/>
            <w:left w:w="108" w:type="dxa"/>
            <w:bottom w:w="0" w:type="dxa"/>
            <w:right w:w="108" w:type="dxa"/>
          </w:tblCellMar>
        </w:tblPrEx>
        <w:trPr>
          <w:cantSplit/>
          <w:trHeight w:val="2333"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8F24B">
            <w:pPr>
              <w:widowControl w:val="0"/>
              <w:adjustRightInd/>
              <w:snapToGrid/>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17</w:t>
            </w:r>
          </w:p>
        </w:tc>
        <w:tc>
          <w:tcPr>
            <w:tcW w:w="2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9BE5E">
            <w:pPr>
              <w:widowControl w:val="0"/>
              <w:adjustRightInd/>
              <w:snapToGrid/>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林草种业创新与科技推广</w:t>
            </w:r>
          </w:p>
        </w:tc>
        <w:tc>
          <w:tcPr>
            <w:tcW w:w="1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5352A">
            <w:pPr>
              <w:widowControl w:val="0"/>
              <w:adjustRightInd/>
              <w:snapToGrid/>
              <w:spacing w:after="0" w:line="400" w:lineRule="exact"/>
              <w:jc w:val="both"/>
              <w:rPr>
                <w:rFonts w:ascii="仿宋_GB2312" w:hAnsi="仿宋_GB2312" w:eastAsia="仿宋_GB2312" w:cs="仿宋_GB2312"/>
                <w:sz w:val="30"/>
                <w:szCs w:val="30"/>
              </w:rPr>
            </w:pPr>
            <w:r>
              <w:rPr>
                <w:rFonts w:hint="eastAsia" w:ascii="仿宋_GB2312" w:hAnsi="仿宋_GB2312" w:eastAsia="仿宋_GB2312" w:cs="仿宋_GB2312"/>
                <w:sz w:val="30"/>
                <w:szCs w:val="30"/>
              </w:rPr>
              <w:t>继续完善丝栗栲、青冈、红豆杉、樟树、马褂木种质资源库建设并积极开展相关的科学实验。积极开展野生动植物原生态原生地保护，维护生物多样性。进一步提升枫树山林场保障性苗圃的设施建设，进一步提高现代化林业技术的苗木保障能力。积极争取并实施中央财政林业科技推广示范补助项目、林业科技创新项目、省级财政良种良法推广示范项目，大力推广先进实用的林业科技成果。</w:t>
            </w:r>
          </w:p>
        </w:tc>
      </w:tr>
      <w:tr w14:paraId="0046CF29">
        <w:tblPrEx>
          <w:tblCellMar>
            <w:top w:w="0" w:type="dxa"/>
            <w:left w:w="108" w:type="dxa"/>
            <w:bottom w:w="0" w:type="dxa"/>
            <w:right w:w="108" w:type="dxa"/>
          </w:tblCellMar>
        </w:tblPrEx>
        <w:trPr>
          <w:cantSplit/>
          <w:trHeight w:val="894"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F24C1">
            <w:pPr>
              <w:widowControl w:val="0"/>
              <w:adjustRightInd/>
              <w:snapToGrid/>
              <w:spacing w:after="0" w:line="400" w:lineRule="exact"/>
              <w:jc w:val="center"/>
              <w:rPr>
                <w:rFonts w:ascii="黑体" w:hAnsi="黑体" w:eastAsia="黑体" w:cs="黑体"/>
                <w:sz w:val="30"/>
                <w:szCs w:val="30"/>
              </w:rPr>
            </w:pPr>
            <w:r>
              <w:rPr>
                <w:rFonts w:hint="eastAsia" w:ascii="黑体" w:hAnsi="黑体" w:eastAsia="黑体" w:cs="黑体"/>
                <w:sz w:val="30"/>
                <w:szCs w:val="30"/>
              </w:rPr>
              <w:t>四</w:t>
            </w:r>
          </w:p>
        </w:tc>
        <w:tc>
          <w:tcPr>
            <w:tcW w:w="2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84073">
            <w:pPr>
              <w:widowControl w:val="0"/>
              <w:adjustRightInd/>
              <w:snapToGrid/>
              <w:spacing w:after="0" w:line="400" w:lineRule="exact"/>
              <w:jc w:val="center"/>
              <w:rPr>
                <w:rFonts w:ascii="黑体" w:hAnsi="黑体" w:eastAsia="黑体" w:cs="黑体"/>
                <w:sz w:val="30"/>
                <w:szCs w:val="30"/>
              </w:rPr>
            </w:pPr>
            <w:r>
              <w:rPr>
                <w:rFonts w:hint="eastAsia" w:ascii="黑体" w:hAnsi="黑体" w:eastAsia="黑体" w:cs="黑体"/>
                <w:sz w:val="30"/>
                <w:szCs w:val="30"/>
              </w:rPr>
              <w:t>高素质队伍</w:t>
            </w:r>
          </w:p>
        </w:tc>
        <w:tc>
          <w:tcPr>
            <w:tcW w:w="1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300B1">
            <w:pPr>
              <w:widowControl w:val="0"/>
              <w:adjustRightInd/>
              <w:snapToGrid/>
              <w:spacing w:after="0" w:line="400" w:lineRule="exact"/>
              <w:jc w:val="both"/>
              <w:rPr>
                <w:rFonts w:ascii="黑体" w:hAnsi="黑体" w:eastAsia="黑体" w:cs="黑体"/>
                <w:sz w:val="30"/>
                <w:szCs w:val="30"/>
              </w:rPr>
            </w:pPr>
          </w:p>
        </w:tc>
      </w:tr>
      <w:tr w14:paraId="76D3412E">
        <w:tblPrEx>
          <w:tblCellMar>
            <w:top w:w="0" w:type="dxa"/>
            <w:left w:w="108" w:type="dxa"/>
            <w:bottom w:w="0" w:type="dxa"/>
            <w:right w:w="108" w:type="dxa"/>
          </w:tblCellMar>
        </w:tblPrEx>
        <w:trPr>
          <w:cantSplit/>
          <w:trHeight w:val="2036"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D940E">
            <w:pPr>
              <w:widowControl w:val="0"/>
              <w:adjustRightInd/>
              <w:snapToGrid/>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18</w:t>
            </w:r>
          </w:p>
        </w:tc>
        <w:tc>
          <w:tcPr>
            <w:tcW w:w="2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10A10">
            <w:pPr>
              <w:widowControl w:val="0"/>
              <w:adjustRightInd/>
              <w:snapToGrid/>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干部队伍综合能力提升</w:t>
            </w:r>
          </w:p>
        </w:tc>
        <w:tc>
          <w:tcPr>
            <w:tcW w:w="1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7C6A0">
            <w:pPr>
              <w:widowControl w:val="0"/>
              <w:adjustRightInd/>
              <w:snapToGrid/>
              <w:spacing w:after="0" w:line="400" w:lineRule="exact"/>
              <w:jc w:val="both"/>
              <w:rPr>
                <w:rFonts w:ascii="仿宋_GB2312" w:hAnsi="仿宋_GB2312" w:eastAsia="仿宋_GB2312" w:cs="仿宋_GB2312"/>
                <w:sz w:val="30"/>
                <w:szCs w:val="30"/>
              </w:rPr>
            </w:pPr>
            <w:r>
              <w:rPr>
                <w:rFonts w:hint="eastAsia" w:ascii="仿宋_GB2312" w:hAnsi="仿宋_GB2312" w:eastAsia="仿宋_GB2312" w:cs="仿宋_GB2312"/>
                <w:sz w:val="30"/>
                <w:szCs w:val="30"/>
              </w:rPr>
              <w:t>加强与林业院校和科研单位的合作，通过参与实验或技术培训的方式培育林业专业人才，加强驻村帮扶队伍建设，选派优秀林业技术干部驻村指导。依托各级党校、行政学院、红色教育基地及继续教育平台，定期举办政治理论培训、绿色大讲堂，提升政治素养和专业水平。</w:t>
            </w:r>
          </w:p>
        </w:tc>
      </w:tr>
      <w:tr w14:paraId="1D5704E0">
        <w:tblPrEx>
          <w:tblCellMar>
            <w:top w:w="0" w:type="dxa"/>
            <w:left w:w="108" w:type="dxa"/>
            <w:bottom w:w="0" w:type="dxa"/>
            <w:right w:w="108" w:type="dxa"/>
          </w:tblCellMar>
        </w:tblPrEx>
        <w:trPr>
          <w:cantSplit/>
          <w:trHeight w:val="1687"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5E753">
            <w:pPr>
              <w:widowControl w:val="0"/>
              <w:adjustRightInd/>
              <w:snapToGrid/>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19</w:t>
            </w:r>
          </w:p>
        </w:tc>
        <w:tc>
          <w:tcPr>
            <w:tcW w:w="2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71E78">
            <w:pPr>
              <w:widowControl w:val="0"/>
              <w:adjustRightInd/>
              <w:snapToGrid/>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科研创新队伍建设</w:t>
            </w:r>
          </w:p>
        </w:tc>
        <w:tc>
          <w:tcPr>
            <w:tcW w:w="1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820AF">
            <w:pPr>
              <w:widowControl w:val="0"/>
              <w:adjustRightInd/>
              <w:snapToGrid/>
              <w:spacing w:after="0" w:line="400" w:lineRule="exact"/>
              <w:jc w:val="both"/>
              <w:rPr>
                <w:rFonts w:ascii="仿宋_GB2312" w:hAnsi="仿宋_GB2312" w:eastAsia="仿宋_GB2312" w:cs="仿宋_GB2312"/>
                <w:sz w:val="30"/>
                <w:szCs w:val="30"/>
              </w:rPr>
            </w:pPr>
            <w:r>
              <w:rPr>
                <w:rFonts w:hint="eastAsia" w:ascii="仿宋_GB2312" w:hAnsi="仿宋_GB2312" w:eastAsia="仿宋_GB2312" w:cs="仿宋_GB2312"/>
                <w:sz w:val="30"/>
                <w:szCs w:val="30"/>
              </w:rPr>
              <w:t>支持开展林木种质资源、林业产业、林机装备、森林可持续经营、林业防灾减灾、森林生态与碳汇、生物多样性保护等方面的科研实验。支持组建“互联网+”技术创新与推广服务专家团队，建设拥有现代化调查技术的资源监测队伍。</w:t>
            </w:r>
          </w:p>
        </w:tc>
      </w:tr>
      <w:tr w14:paraId="333230C0">
        <w:tblPrEx>
          <w:tblCellMar>
            <w:top w:w="0" w:type="dxa"/>
            <w:left w:w="108" w:type="dxa"/>
            <w:bottom w:w="0" w:type="dxa"/>
            <w:right w:w="108" w:type="dxa"/>
          </w:tblCellMar>
        </w:tblPrEx>
        <w:trPr>
          <w:cantSplit/>
          <w:trHeight w:val="2515" w:hRule="atLeast"/>
        </w:trPr>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7D693">
            <w:pPr>
              <w:widowControl w:val="0"/>
              <w:adjustRightInd/>
              <w:snapToGrid/>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20</w:t>
            </w:r>
          </w:p>
        </w:tc>
        <w:tc>
          <w:tcPr>
            <w:tcW w:w="2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94D17">
            <w:pPr>
              <w:widowControl w:val="0"/>
              <w:adjustRightInd/>
              <w:snapToGrid/>
              <w:spacing w:after="0" w:line="40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基层及技术技能人才培育</w:t>
            </w:r>
          </w:p>
        </w:tc>
        <w:tc>
          <w:tcPr>
            <w:tcW w:w="1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CB177">
            <w:pPr>
              <w:widowControl w:val="0"/>
              <w:adjustRightInd/>
              <w:snapToGrid/>
              <w:spacing w:after="0" w:line="400" w:lineRule="exact"/>
              <w:jc w:val="both"/>
              <w:rPr>
                <w:rFonts w:ascii="仿宋_GB2312" w:hAnsi="仿宋_GB2312" w:eastAsia="仿宋_GB2312" w:cs="仿宋_GB2312"/>
                <w:sz w:val="30"/>
                <w:szCs w:val="30"/>
              </w:rPr>
            </w:pPr>
            <w:r>
              <w:rPr>
                <w:rFonts w:hint="eastAsia" w:ascii="仿宋_GB2312" w:hAnsi="仿宋_GB2312" w:eastAsia="仿宋_GB2312" w:cs="仿宋_GB2312"/>
                <w:sz w:val="30"/>
                <w:szCs w:val="30"/>
              </w:rPr>
              <w:t>围绕森林培育、林下经济、经济林、森林药材等基层迫切的林业技术积极开展多渠道多场合的培训，做到哪里有需求哪里就有培训。健全乡土专家认定、使用和激励机制，积极遴选乡土专家。持</w:t>
            </w:r>
            <w:r>
              <w:rPr>
                <w:rFonts w:hint="eastAsia" w:ascii="仿宋_GB2312" w:hAnsi="仿宋_GB2312" w:eastAsia="仿宋_GB2312" w:cs="仿宋_GB2312"/>
                <w:color w:val="auto"/>
                <w:sz w:val="30"/>
                <w:szCs w:val="30"/>
              </w:rPr>
              <w:t>续聘用</w:t>
            </w:r>
            <w:r>
              <w:rPr>
                <w:rFonts w:hint="eastAsia" w:ascii="宋体" w:hAnsi="宋体" w:eastAsia="宋体" w:cs="宋体"/>
                <w:color w:val="auto"/>
                <w:sz w:val="30"/>
                <w:szCs w:val="30"/>
                <w:u w:val="none"/>
                <w:lang w:val="en-US" w:eastAsia="zh-CN"/>
              </w:rPr>
              <w:t>252</w:t>
            </w:r>
            <w:r>
              <w:rPr>
                <w:rFonts w:hint="eastAsia" w:ascii="仿宋_GB2312" w:hAnsi="仿宋_GB2312" w:eastAsia="仿宋_GB2312" w:cs="仿宋_GB2312"/>
                <w:color w:val="auto"/>
                <w:sz w:val="30"/>
                <w:szCs w:val="30"/>
              </w:rPr>
              <w:t>名生态护</w:t>
            </w:r>
            <w:r>
              <w:rPr>
                <w:rFonts w:hint="eastAsia" w:ascii="仿宋_GB2312" w:hAnsi="仿宋_GB2312" w:eastAsia="仿宋_GB2312" w:cs="仿宋_GB2312"/>
                <w:sz w:val="30"/>
                <w:szCs w:val="30"/>
              </w:rPr>
              <w:t>林员，深入开展护林员能力素质培训，强化林业资源源头网格化管理。加强森林经营管理单位机械化防灭火队伍建设，组建机械化防灭火队1支，加强县市区半专业扑火队伍建设与技术指导。</w:t>
            </w:r>
          </w:p>
        </w:tc>
      </w:tr>
    </w:tbl>
    <w:p w14:paraId="5347526C">
      <w:pPr>
        <w:widowControl w:val="0"/>
        <w:spacing w:after="0" w:line="20" w:lineRule="exact"/>
        <w:jc w:val="both"/>
        <w:rPr>
          <w:rFonts w:ascii="仿宋_GB2312" w:hAnsi="仿宋_GB2312" w:eastAsia="仿宋_GB2312" w:cs="仿宋_GB2312"/>
          <w:sz w:val="30"/>
          <w:szCs w:val="30"/>
        </w:rPr>
      </w:pPr>
    </w:p>
    <w:sectPr>
      <w:pgSz w:w="16838" w:h="11906" w:orient="landscape"/>
      <w:pgMar w:top="1247" w:right="1417" w:bottom="1247" w:left="1417" w:header="708" w:footer="708" w:gutter="0"/>
      <w:pgNumType w:fmt="numberInDash"/>
      <w:cols w:space="708" w:num="1"/>
      <w:docGrid w:linePitch="36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邵" w:date="2026-07-08T09:33:00Z" w:initials="">
    <w:p w14:paraId="56B49B54">
      <w:pPr>
        <w:pStyle w:val="6"/>
      </w:pPr>
      <w:r>
        <w:annotationRef/>
      </w:r>
    </w:p>
  </w:comment>
  <w:comment w:id="1" w:author="jdzadmin" w:date="2026-07-08T09:42:00Z" w:initials="j">
    <w:p w14:paraId="088A089E">
      <w:pPr>
        <w:pStyle w:val="6"/>
      </w:pPr>
      <w:r>
        <w:rPr>
          <w:rFonts w:hint="eastAsia"/>
        </w:rPr>
        <w:t>因为高岭矿山公园已合并至风景名胜区，无矿山公园</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6B49B54" w15:done="0"/>
  <w15:commentEx w15:paraId="088A089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Tahoma">
    <w:altName w:val="noto sans thai"/>
    <w:panose1 w:val="020B0604030504040204"/>
    <w:charset w:val="00"/>
    <w:family w:val="swiss"/>
    <w:pitch w:val="default"/>
    <w:sig w:usb0="00000000" w:usb1="00000000" w:usb2="00000029" w:usb3="00000000" w:csb0="000101FF" w:csb1="00000000"/>
  </w:font>
  <w:font w:name="noto sans thai">
    <w:panose1 w:val="020B0502040504020204"/>
    <w:charset w:val="00"/>
    <w:family w:val="auto"/>
    <w:pitch w:val="default"/>
    <w:sig w:usb0="81000063" w:usb1="00002000" w:usb2="00000000" w:usb3="00000000" w:csb0="00010000"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Calibri Light">
    <w:altName w:val="DejaVu Sans"/>
    <w:panose1 w:val="00000000000000000000"/>
    <w:charset w:val="00"/>
    <w:family w:val="swiss"/>
    <w:pitch w:val="default"/>
    <w:sig w:usb0="00000000" w:usb1="00000000" w:usb2="00000009" w:usb3="00000000" w:csb0="200001F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9E608">
    <w:pPr>
      <w:pStyle w:val="1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0703A53">
                          <w:pPr>
                            <w:pStyle w:val="12"/>
                            <w:rPr>
                              <w:rFonts w:ascii="宋体" w:hAnsi="宋体" w:eastAsia="宋体" w:cs="宋体"/>
                              <w:sz w:val="28"/>
                              <w:szCs w:val="28"/>
                            </w:rPr>
                          </w:pP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- 16 -</w:t>
                          </w:r>
                          <w:r>
                            <w:rPr>
                              <w:rFonts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20703A53">
                    <w:pPr>
                      <w:pStyle w:val="12"/>
                      <w:rPr>
                        <w:rFonts w:ascii="宋体" w:hAnsi="宋体" w:eastAsia="宋体" w:cs="宋体"/>
                        <w:sz w:val="28"/>
                        <w:szCs w:val="28"/>
                      </w:rPr>
                    </w:pP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- 16 -</w:t>
                    </w:r>
                    <w:r>
                      <w:rPr>
                        <w:rFonts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CD018">
    <w:pPr>
      <w:pStyle w:val="13"/>
      <w:pBdr>
        <w:bottom w:val="none" w:color="auto" w:sz="0" w:space="1"/>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邵">
    <w15:presenceInfo w15:providerId="WPS Office" w15:userId="2623910168"/>
  </w15:person>
  <w15:person w15:author="jdzadmin">
    <w15:presenceInfo w15:providerId="None" w15:userId="jdz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revisionView w:markup="0"/>
  <w:documentProtection w:enforcement="0"/>
  <w:defaultTabStop w:val="720"/>
  <w:drawingGridHorizontalSpacing w:val="110"/>
  <w:noPunctuationKerning w:val="1"/>
  <w:characterSpacingControl w:val="doNotCompress"/>
  <w:hdrShapeDefaults>
    <o:shapelayout v:ext="edit">
      <o:idmap v:ext="edit" data="1"/>
    </o:shapelayout>
  </w:hdrShapeDefaults>
  <w:footnotePr>
    <w:footnote w:id="0"/>
    <w:footnote w:id="1"/>
  </w:foot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0269A"/>
    <w:rsid w:val="000044EA"/>
    <w:rsid w:val="0000698C"/>
    <w:rsid w:val="00023276"/>
    <w:rsid w:val="0003742B"/>
    <w:rsid w:val="00037DA2"/>
    <w:rsid w:val="000423CC"/>
    <w:rsid w:val="0004311F"/>
    <w:rsid w:val="00053EC5"/>
    <w:rsid w:val="00056848"/>
    <w:rsid w:val="00081BB8"/>
    <w:rsid w:val="000861B2"/>
    <w:rsid w:val="0008734F"/>
    <w:rsid w:val="00095BEF"/>
    <w:rsid w:val="0009660B"/>
    <w:rsid w:val="000976EB"/>
    <w:rsid w:val="000A41A5"/>
    <w:rsid w:val="000A7570"/>
    <w:rsid w:val="000B56E3"/>
    <w:rsid w:val="000C4E8D"/>
    <w:rsid w:val="000C5FCC"/>
    <w:rsid w:val="000C6500"/>
    <w:rsid w:val="000D4A23"/>
    <w:rsid w:val="000E0A64"/>
    <w:rsid w:val="000E2485"/>
    <w:rsid w:val="000E72D6"/>
    <w:rsid w:val="000F74AA"/>
    <w:rsid w:val="00104B1E"/>
    <w:rsid w:val="00110FCF"/>
    <w:rsid w:val="00114F01"/>
    <w:rsid w:val="00116A8C"/>
    <w:rsid w:val="00121ACC"/>
    <w:rsid w:val="00122F1C"/>
    <w:rsid w:val="00125E3A"/>
    <w:rsid w:val="00132969"/>
    <w:rsid w:val="001423D6"/>
    <w:rsid w:val="00147866"/>
    <w:rsid w:val="00151B67"/>
    <w:rsid w:val="00152AFE"/>
    <w:rsid w:val="00157885"/>
    <w:rsid w:val="0016077B"/>
    <w:rsid w:val="00165145"/>
    <w:rsid w:val="001659C1"/>
    <w:rsid w:val="00165BF0"/>
    <w:rsid w:val="00176E08"/>
    <w:rsid w:val="001817ED"/>
    <w:rsid w:val="00183044"/>
    <w:rsid w:val="00193C40"/>
    <w:rsid w:val="001B1AB6"/>
    <w:rsid w:val="001B2625"/>
    <w:rsid w:val="001B294D"/>
    <w:rsid w:val="001B4799"/>
    <w:rsid w:val="001C0263"/>
    <w:rsid w:val="001C2D04"/>
    <w:rsid w:val="001D0423"/>
    <w:rsid w:val="001D3949"/>
    <w:rsid w:val="001D6533"/>
    <w:rsid w:val="001E3D81"/>
    <w:rsid w:val="001E46FE"/>
    <w:rsid w:val="001E62D4"/>
    <w:rsid w:val="001F0ABC"/>
    <w:rsid w:val="00202BC3"/>
    <w:rsid w:val="002047CB"/>
    <w:rsid w:val="00204C76"/>
    <w:rsid w:val="00210139"/>
    <w:rsid w:val="00210DD0"/>
    <w:rsid w:val="00213BEC"/>
    <w:rsid w:val="00222096"/>
    <w:rsid w:val="00223263"/>
    <w:rsid w:val="002233F9"/>
    <w:rsid w:val="00223556"/>
    <w:rsid w:val="002279AE"/>
    <w:rsid w:val="002345D1"/>
    <w:rsid w:val="0023470F"/>
    <w:rsid w:val="002405A3"/>
    <w:rsid w:val="0024341A"/>
    <w:rsid w:val="002470E3"/>
    <w:rsid w:val="0025432C"/>
    <w:rsid w:val="0026083E"/>
    <w:rsid w:val="00260F5D"/>
    <w:rsid w:val="002621B0"/>
    <w:rsid w:val="00281361"/>
    <w:rsid w:val="002914AE"/>
    <w:rsid w:val="00292532"/>
    <w:rsid w:val="002E360F"/>
    <w:rsid w:val="002F721E"/>
    <w:rsid w:val="00300CB3"/>
    <w:rsid w:val="00303583"/>
    <w:rsid w:val="00303A2B"/>
    <w:rsid w:val="0032207D"/>
    <w:rsid w:val="00323B43"/>
    <w:rsid w:val="00336631"/>
    <w:rsid w:val="003371D2"/>
    <w:rsid w:val="00341309"/>
    <w:rsid w:val="00354404"/>
    <w:rsid w:val="00366D1B"/>
    <w:rsid w:val="00375AE7"/>
    <w:rsid w:val="00376240"/>
    <w:rsid w:val="003843C1"/>
    <w:rsid w:val="00387DD9"/>
    <w:rsid w:val="00392985"/>
    <w:rsid w:val="003933B5"/>
    <w:rsid w:val="003A104C"/>
    <w:rsid w:val="003A2C73"/>
    <w:rsid w:val="003B2964"/>
    <w:rsid w:val="003B30DA"/>
    <w:rsid w:val="003B5EF5"/>
    <w:rsid w:val="003C5D28"/>
    <w:rsid w:val="003D0249"/>
    <w:rsid w:val="003D23FE"/>
    <w:rsid w:val="003D262E"/>
    <w:rsid w:val="003D3000"/>
    <w:rsid w:val="003D37D8"/>
    <w:rsid w:val="003D52D0"/>
    <w:rsid w:val="003E082C"/>
    <w:rsid w:val="003E1D2F"/>
    <w:rsid w:val="003E2B0C"/>
    <w:rsid w:val="003E3010"/>
    <w:rsid w:val="003F2CB1"/>
    <w:rsid w:val="003F7439"/>
    <w:rsid w:val="003F7938"/>
    <w:rsid w:val="003F7C85"/>
    <w:rsid w:val="004008B8"/>
    <w:rsid w:val="00400C07"/>
    <w:rsid w:val="00401E02"/>
    <w:rsid w:val="00402612"/>
    <w:rsid w:val="00410869"/>
    <w:rsid w:val="004159F3"/>
    <w:rsid w:val="004222BB"/>
    <w:rsid w:val="00426133"/>
    <w:rsid w:val="004358AB"/>
    <w:rsid w:val="00440483"/>
    <w:rsid w:val="00463F31"/>
    <w:rsid w:val="0047092B"/>
    <w:rsid w:val="00470A87"/>
    <w:rsid w:val="00471E30"/>
    <w:rsid w:val="00486C7C"/>
    <w:rsid w:val="00487268"/>
    <w:rsid w:val="00492838"/>
    <w:rsid w:val="00496EBE"/>
    <w:rsid w:val="00497289"/>
    <w:rsid w:val="004B516F"/>
    <w:rsid w:val="004B7895"/>
    <w:rsid w:val="004C2C9A"/>
    <w:rsid w:val="004F3A00"/>
    <w:rsid w:val="004F5850"/>
    <w:rsid w:val="004F72CF"/>
    <w:rsid w:val="00500A24"/>
    <w:rsid w:val="00521D32"/>
    <w:rsid w:val="00525709"/>
    <w:rsid w:val="0053504A"/>
    <w:rsid w:val="00537E77"/>
    <w:rsid w:val="00551492"/>
    <w:rsid w:val="005579AB"/>
    <w:rsid w:val="00557F1B"/>
    <w:rsid w:val="00560869"/>
    <w:rsid w:val="0056715E"/>
    <w:rsid w:val="0057125C"/>
    <w:rsid w:val="00577E09"/>
    <w:rsid w:val="005805F0"/>
    <w:rsid w:val="005972B5"/>
    <w:rsid w:val="005A72AA"/>
    <w:rsid w:val="005B1822"/>
    <w:rsid w:val="005B6330"/>
    <w:rsid w:val="005C5022"/>
    <w:rsid w:val="005C673B"/>
    <w:rsid w:val="005C76C2"/>
    <w:rsid w:val="005E32E8"/>
    <w:rsid w:val="00605493"/>
    <w:rsid w:val="00605C86"/>
    <w:rsid w:val="00606B0A"/>
    <w:rsid w:val="006109E9"/>
    <w:rsid w:val="00610ADB"/>
    <w:rsid w:val="00612F33"/>
    <w:rsid w:val="0061649A"/>
    <w:rsid w:val="00617CE2"/>
    <w:rsid w:val="00630754"/>
    <w:rsid w:val="00634ABF"/>
    <w:rsid w:val="006417DE"/>
    <w:rsid w:val="00642B8D"/>
    <w:rsid w:val="00643214"/>
    <w:rsid w:val="0066733A"/>
    <w:rsid w:val="00670B04"/>
    <w:rsid w:val="00670EB9"/>
    <w:rsid w:val="0068376B"/>
    <w:rsid w:val="0069053B"/>
    <w:rsid w:val="006A0504"/>
    <w:rsid w:val="006A7118"/>
    <w:rsid w:val="006B32C9"/>
    <w:rsid w:val="006B4971"/>
    <w:rsid w:val="006B4BE9"/>
    <w:rsid w:val="006B53B4"/>
    <w:rsid w:val="006B6AAB"/>
    <w:rsid w:val="006E4719"/>
    <w:rsid w:val="006E7682"/>
    <w:rsid w:val="006F585F"/>
    <w:rsid w:val="0072157A"/>
    <w:rsid w:val="007329EB"/>
    <w:rsid w:val="00741438"/>
    <w:rsid w:val="00750DA9"/>
    <w:rsid w:val="007541B8"/>
    <w:rsid w:val="0075530C"/>
    <w:rsid w:val="0076029A"/>
    <w:rsid w:val="00760CDE"/>
    <w:rsid w:val="00762976"/>
    <w:rsid w:val="007647B6"/>
    <w:rsid w:val="0076632E"/>
    <w:rsid w:val="00784476"/>
    <w:rsid w:val="007856BD"/>
    <w:rsid w:val="007866B7"/>
    <w:rsid w:val="007927F5"/>
    <w:rsid w:val="0079385B"/>
    <w:rsid w:val="00794608"/>
    <w:rsid w:val="007A0354"/>
    <w:rsid w:val="007A2151"/>
    <w:rsid w:val="007A5345"/>
    <w:rsid w:val="007B0AA4"/>
    <w:rsid w:val="007B3EBD"/>
    <w:rsid w:val="007B5DBD"/>
    <w:rsid w:val="007C0140"/>
    <w:rsid w:val="007C2F6D"/>
    <w:rsid w:val="007D3CAD"/>
    <w:rsid w:val="007D7530"/>
    <w:rsid w:val="007E0C37"/>
    <w:rsid w:val="007E423D"/>
    <w:rsid w:val="007E62AB"/>
    <w:rsid w:val="007F19D0"/>
    <w:rsid w:val="007F2C91"/>
    <w:rsid w:val="007F4BF1"/>
    <w:rsid w:val="007F5E9A"/>
    <w:rsid w:val="00807A40"/>
    <w:rsid w:val="00812559"/>
    <w:rsid w:val="00831480"/>
    <w:rsid w:val="00850765"/>
    <w:rsid w:val="00853A02"/>
    <w:rsid w:val="0085503A"/>
    <w:rsid w:val="00856322"/>
    <w:rsid w:val="00861D56"/>
    <w:rsid w:val="00862059"/>
    <w:rsid w:val="008800C4"/>
    <w:rsid w:val="008936EF"/>
    <w:rsid w:val="008943CB"/>
    <w:rsid w:val="008A03FD"/>
    <w:rsid w:val="008A09A4"/>
    <w:rsid w:val="008A2378"/>
    <w:rsid w:val="008B5794"/>
    <w:rsid w:val="008B7726"/>
    <w:rsid w:val="008B7B25"/>
    <w:rsid w:val="008C771C"/>
    <w:rsid w:val="008D4A44"/>
    <w:rsid w:val="008E6E26"/>
    <w:rsid w:val="008F69AC"/>
    <w:rsid w:val="008F6C31"/>
    <w:rsid w:val="008F6D19"/>
    <w:rsid w:val="00902838"/>
    <w:rsid w:val="009033D5"/>
    <w:rsid w:val="009075BD"/>
    <w:rsid w:val="00934120"/>
    <w:rsid w:val="00940416"/>
    <w:rsid w:val="00943C77"/>
    <w:rsid w:val="00952207"/>
    <w:rsid w:val="0095342C"/>
    <w:rsid w:val="009622A4"/>
    <w:rsid w:val="00963563"/>
    <w:rsid w:val="0096502B"/>
    <w:rsid w:val="0097013D"/>
    <w:rsid w:val="00975FB7"/>
    <w:rsid w:val="009838EA"/>
    <w:rsid w:val="00986075"/>
    <w:rsid w:val="009965DC"/>
    <w:rsid w:val="009A1C87"/>
    <w:rsid w:val="009B76D4"/>
    <w:rsid w:val="009C105E"/>
    <w:rsid w:val="009C308A"/>
    <w:rsid w:val="009C4FB2"/>
    <w:rsid w:val="009D1532"/>
    <w:rsid w:val="009D2AD8"/>
    <w:rsid w:val="009F1FCC"/>
    <w:rsid w:val="00A060F8"/>
    <w:rsid w:val="00A140CD"/>
    <w:rsid w:val="00A26113"/>
    <w:rsid w:val="00A343FA"/>
    <w:rsid w:val="00A35D84"/>
    <w:rsid w:val="00A41716"/>
    <w:rsid w:val="00A5453A"/>
    <w:rsid w:val="00A606C1"/>
    <w:rsid w:val="00A626F0"/>
    <w:rsid w:val="00A71139"/>
    <w:rsid w:val="00A72FB6"/>
    <w:rsid w:val="00A852D3"/>
    <w:rsid w:val="00A87098"/>
    <w:rsid w:val="00AA27A8"/>
    <w:rsid w:val="00AB1C10"/>
    <w:rsid w:val="00AC2D0A"/>
    <w:rsid w:val="00AC62FD"/>
    <w:rsid w:val="00AC75D3"/>
    <w:rsid w:val="00AD4BC6"/>
    <w:rsid w:val="00AE036E"/>
    <w:rsid w:val="00AE3B91"/>
    <w:rsid w:val="00AE639A"/>
    <w:rsid w:val="00AE6911"/>
    <w:rsid w:val="00AF0DDC"/>
    <w:rsid w:val="00AF5C8D"/>
    <w:rsid w:val="00AF6415"/>
    <w:rsid w:val="00B01A44"/>
    <w:rsid w:val="00B22BB7"/>
    <w:rsid w:val="00B2353A"/>
    <w:rsid w:val="00B3220C"/>
    <w:rsid w:val="00B412DD"/>
    <w:rsid w:val="00B45097"/>
    <w:rsid w:val="00B46BAF"/>
    <w:rsid w:val="00B5211F"/>
    <w:rsid w:val="00B55E22"/>
    <w:rsid w:val="00B562DE"/>
    <w:rsid w:val="00B569F2"/>
    <w:rsid w:val="00B635E4"/>
    <w:rsid w:val="00B83211"/>
    <w:rsid w:val="00B83358"/>
    <w:rsid w:val="00B84393"/>
    <w:rsid w:val="00B950FA"/>
    <w:rsid w:val="00BA0818"/>
    <w:rsid w:val="00BA15C9"/>
    <w:rsid w:val="00BB1F48"/>
    <w:rsid w:val="00BB321E"/>
    <w:rsid w:val="00BC3429"/>
    <w:rsid w:val="00BC477F"/>
    <w:rsid w:val="00BD67C7"/>
    <w:rsid w:val="00BE0160"/>
    <w:rsid w:val="00BE198F"/>
    <w:rsid w:val="00BE1AE1"/>
    <w:rsid w:val="00BF6F7E"/>
    <w:rsid w:val="00BF752A"/>
    <w:rsid w:val="00C0016B"/>
    <w:rsid w:val="00C06C7E"/>
    <w:rsid w:val="00C12130"/>
    <w:rsid w:val="00C150C1"/>
    <w:rsid w:val="00C2188E"/>
    <w:rsid w:val="00C22DB0"/>
    <w:rsid w:val="00C332B4"/>
    <w:rsid w:val="00C363EA"/>
    <w:rsid w:val="00C37FE3"/>
    <w:rsid w:val="00C4345B"/>
    <w:rsid w:val="00C45B59"/>
    <w:rsid w:val="00C47644"/>
    <w:rsid w:val="00C517EA"/>
    <w:rsid w:val="00C620FF"/>
    <w:rsid w:val="00C702FC"/>
    <w:rsid w:val="00C72C60"/>
    <w:rsid w:val="00C7776E"/>
    <w:rsid w:val="00CA18D5"/>
    <w:rsid w:val="00CA5473"/>
    <w:rsid w:val="00CA68BF"/>
    <w:rsid w:val="00CA70E1"/>
    <w:rsid w:val="00CC2633"/>
    <w:rsid w:val="00CD087F"/>
    <w:rsid w:val="00CD3615"/>
    <w:rsid w:val="00CD5EC0"/>
    <w:rsid w:val="00CD6416"/>
    <w:rsid w:val="00CE7274"/>
    <w:rsid w:val="00D0244A"/>
    <w:rsid w:val="00D07312"/>
    <w:rsid w:val="00D11E32"/>
    <w:rsid w:val="00D1719B"/>
    <w:rsid w:val="00D20CE6"/>
    <w:rsid w:val="00D31D50"/>
    <w:rsid w:val="00D33A1A"/>
    <w:rsid w:val="00D47CC0"/>
    <w:rsid w:val="00D61C6B"/>
    <w:rsid w:val="00D71A97"/>
    <w:rsid w:val="00D71BBE"/>
    <w:rsid w:val="00D77B3E"/>
    <w:rsid w:val="00D8170B"/>
    <w:rsid w:val="00D85CE7"/>
    <w:rsid w:val="00D96347"/>
    <w:rsid w:val="00DA2E24"/>
    <w:rsid w:val="00DB1487"/>
    <w:rsid w:val="00DC20D1"/>
    <w:rsid w:val="00DC3414"/>
    <w:rsid w:val="00DD18AE"/>
    <w:rsid w:val="00DD2028"/>
    <w:rsid w:val="00DE1F57"/>
    <w:rsid w:val="00DE3CB7"/>
    <w:rsid w:val="00DF1290"/>
    <w:rsid w:val="00DF3C0D"/>
    <w:rsid w:val="00DF4FA5"/>
    <w:rsid w:val="00DF6795"/>
    <w:rsid w:val="00E16876"/>
    <w:rsid w:val="00E16E23"/>
    <w:rsid w:val="00E24713"/>
    <w:rsid w:val="00E2510C"/>
    <w:rsid w:val="00E30381"/>
    <w:rsid w:val="00E31194"/>
    <w:rsid w:val="00E319F3"/>
    <w:rsid w:val="00E35384"/>
    <w:rsid w:val="00E40B9E"/>
    <w:rsid w:val="00E44210"/>
    <w:rsid w:val="00E47267"/>
    <w:rsid w:val="00E5170C"/>
    <w:rsid w:val="00E551BA"/>
    <w:rsid w:val="00E60473"/>
    <w:rsid w:val="00E65820"/>
    <w:rsid w:val="00E73F58"/>
    <w:rsid w:val="00E85E03"/>
    <w:rsid w:val="00EA2EDD"/>
    <w:rsid w:val="00EA2F0D"/>
    <w:rsid w:val="00EA37E2"/>
    <w:rsid w:val="00EA450A"/>
    <w:rsid w:val="00EA4C49"/>
    <w:rsid w:val="00EB3282"/>
    <w:rsid w:val="00EC5ED1"/>
    <w:rsid w:val="00EC7709"/>
    <w:rsid w:val="00ED1465"/>
    <w:rsid w:val="00ED6A86"/>
    <w:rsid w:val="00EE06FD"/>
    <w:rsid w:val="00EE1CD1"/>
    <w:rsid w:val="00EE5F4A"/>
    <w:rsid w:val="00EF1067"/>
    <w:rsid w:val="00EF6871"/>
    <w:rsid w:val="00F00987"/>
    <w:rsid w:val="00F01713"/>
    <w:rsid w:val="00F03042"/>
    <w:rsid w:val="00F24A46"/>
    <w:rsid w:val="00F250C8"/>
    <w:rsid w:val="00F44BC0"/>
    <w:rsid w:val="00F464B0"/>
    <w:rsid w:val="00F510E0"/>
    <w:rsid w:val="00F548BB"/>
    <w:rsid w:val="00F55DC4"/>
    <w:rsid w:val="00F573AE"/>
    <w:rsid w:val="00F65BF9"/>
    <w:rsid w:val="00F77E70"/>
    <w:rsid w:val="00F86E30"/>
    <w:rsid w:val="00F919EC"/>
    <w:rsid w:val="00F92E2D"/>
    <w:rsid w:val="00FA3F04"/>
    <w:rsid w:val="00FA3FFD"/>
    <w:rsid w:val="00FB05D6"/>
    <w:rsid w:val="00FC7738"/>
    <w:rsid w:val="00FD04B0"/>
    <w:rsid w:val="00FD2E64"/>
    <w:rsid w:val="00FE5396"/>
    <w:rsid w:val="00FE6BAD"/>
    <w:rsid w:val="0A2B03EC"/>
    <w:rsid w:val="151D5A3D"/>
    <w:rsid w:val="17F7A251"/>
    <w:rsid w:val="1B7A40F6"/>
    <w:rsid w:val="1FCFC357"/>
    <w:rsid w:val="218B0B78"/>
    <w:rsid w:val="27601478"/>
    <w:rsid w:val="2FEB573F"/>
    <w:rsid w:val="39D5391F"/>
    <w:rsid w:val="3AFFEBA8"/>
    <w:rsid w:val="40EB097C"/>
    <w:rsid w:val="447B20E0"/>
    <w:rsid w:val="4AD93E52"/>
    <w:rsid w:val="4B7F716D"/>
    <w:rsid w:val="4B8126AE"/>
    <w:rsid w:val="513D715F"/>
    <w:rsid w:val="5EAEDCE2"/>
    <w:rsid w:val="66FB4D0A"/>
    <w:rsid w:val="6E8D5FF2"/>
    <w:rsid w:val="776F3367"/>
    <w:rsid w:val="777B51C6"/>
    <w:rsid w:val="7BDFB36E"/>
    <w:rsid w:val="7BFF222C"/>
    <w:rsid w:val="7D6A602A"/>
    <w:rsid w:val="7DFCC149"/>
    <w:rsid w:val="7F8B5C1E"/>
    <w:rsid w:val="7FAA8B7D"/>
    <w:rsid w:val="9D4E7278"/>
    <w:rsid w:val="B7B3BD6C"/>
    <w:rsid w:val="BCC7B966"/>
    <w:rsid w:val="BEFBF467"/>
    <w:rsid w:val="D1A7D74F"/>
    <w:rsid w:val="D7CF42D2"/>
    <w:rsid w:val="DD3D1D95"/>
    <w:rsid w:val="E67FDCE9"/>
    <w:rsid w:val="EBBD1FDA"/>
    <w:rsid w:val="F5AE75CA"/>
    <w:rsid w:val="F6FB0B87"/>
    <w:rsid w:val="FB3D38EA"/>
    <w:rsid w:val="FCCFC380"/>
    <w:rsid w:val="FEFF5718"/>
    <w:rsid w:val="FF7F651D"/>
    <w:rsid w:val="FFE0EE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3"/>
    <w:qFormat/>
    <w:uiPriority w:val="0"/>
    <w:pPr>
      <w:keepNext/>
      <w:keepLines/>
      <w:widowControl w:val="0"/>
      <w:adjustRightInd/>
      <w:snapToGrid/>
      <w:spacing w:before="120" w:after="120"/>
      <w:jc w:val="both"/>
      <w:outlineLvl w:val="0"/>
    </w:pPr>
    <w:rPr>
      <w:rFonts w:ascii="Calibri" w:hAnsi="Calibri" w:eastAsia="仿宋" w:cs="Times New Roman"/>
      <w:b/>
      <w:bCs/>
      <w:kern w:val="44"/>
      <w:sz w:val="32"/>
      <w:szCs w:val="44"/>
    </w:rPr>
  </w:style>
  <w:style w:type="paragraph" w:styleId="3">
    <w:name w:val="heading 2"/>
    <w:basedOn w:val="1"/>
    <w:next w:val="1"/>
    <w:link w:val="24"/>
    <w:qFormat/>
    <w:uiPriority w:val="0"/>
    <w:pPr>
      <w:keepNext/>
      <w:keepLines/>
      <w:widowControl w:val="0"/>
      <w:adjustRightInd/>
      <w:snapToGrid/>
      <w:spacing w:before="120" w:after="120"/>
      <w:jc w:val="both"/>
      <w:outlineLvl w:val="1"/>
    </w:pPr>
    <w:rPr>
      <w:rFonts w:ascii="Calibri Light" w:hAnsi="Calibri Light" w:eastAsia="仿宋" w:cs="Times New Roman"/>
      <w:b/>
      <w:bCs/>
      <w:kern w:val="2"/>
      <w:sz w:val="32"/>
      <w:szCs w:val="32"/>
    </w:rPr>
  </w:style>
  <w:style w:type="paragraph" w:styleId="4">
    <w:name w:val="heading 3"/>
    <w:basedOn w:val="1"/>
    <w:next w:val="1"/>
    <w:link w:val="25"/>
    <w:qFormat/>
    <w:uiPriority w:val="0"/>
    <w:pPr>
      <w:keepNext/>
      <w:keepLines/>
      <w:widowControl w:val="0"/>
      <w:adjustRightInd/>
      <w:snapToGrid/>
      <w:spacing w:before="120" w:after="120"/>
      <w:jc w:val="both"/>
      <w:outlineLvl w:val="2"/>
    </w:pPr>
    <w:rPr>
      <w:rFonts w:ascii="Calibri" w:hAnsi="Calibri" w:eastAsia="仿宋" w:cs="Times New Roman"/>
      <w:b/>
      <w:bCs/>
      <w:kern w:val="2"/>
      <w:sz w:val="30"/>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widowControl w:val="0"/>
      <w:adjustRightInd/>
      <w:snapToGrid/>
      <w:spacing w:after="0"/>
      <w:ind w:firstLine="420" w:firstLineChars="200"/>
      <w:jc w:val="both"/>
    </w:pPr>
    <w:rPr>
      <w:rFonts w:ascii="Calibri" w:hAnsi="Calibri" w:eastAsia="宋体" w:cs="Times New Roman"/>
      <w:kern w:val="2"/>
      <w:sz w:val="21"/>
      <w:szCs w:val="24"/>
    </w:rPr>
  </w:style>
  <w:style w:type="paragraph" w:styleId="6">
    <w:name w:val="annotation text"/>
    <w:basedOn w:val="1"/>
    <w:link w:val="37"/>
    <w:unhideWhenUsed/>
    <w:qFormat/>
    <w:uiPriority w:val="99"/>
  </w:style>
  <w:style w:type="paragraph" w:styleId="7">
    <w:name w:val="Body Text"/>
    <w:basedOn w:val="1"/>
    <w:next w:val="8"/>
    <w:link w:val="26"/>
    <w:qFormat/>
    <w:uiPriority w:val="1"/>
    <w:pPr>
      <w:widowControl w:val="0"/>
      <w:adjustRightInd/>
      <w:snapToGrid/>
      <w:spacing w:after="0"/>
      <w:ind w:left="113"/>
      <w:jc w:val="both"/>
    </w:pPr>
    <w:rPr>
      <w:rFonts w:ascii="仿宋" w:hAnsi="仿宋" w:eastAsia="仿宋" w:cs="仿宋"/>
      <w:kern w:val="2"/>
      <w:sz w:val="32"/>
      <w:szCs w:val="32"/>
      <w:lang w:val="zh-CN" w:bidi="zh-CN"/>
    </w:rPr>
  </w:style>
  <w:style w:type="paragraph" w:styleId="8">
    <w:name w:val="Body Text First Indent"/>
    <w:basedOn w:val="7"/>
    <w:link w:val="30"/>
    <w:semiHidden/>
    <w:unhideWhenUsed/>
    <w:qFormat/>
    <w:uiPriority w:val="99"/>
    <w:pPr>
      <w:widowControl/>
      <w:adjustRightInd w:val="0"/>
      <w:snapToGrid w:val="0"/>
      <w:spacing w:after="120"/>
      <w:ind w:left="0" w:firstLine="420" w:firstLineChars="100"/>
      <w:jc w:val="left"/>
    </w:pPr>
    <w:rPr>
      <w:rFonts w:ascii="Tahoma" w:hAnsi="Tahoma" w:eastAsia="微软雅黑" w:cstheme="minorBidi"/>
      <w:kern w:val="0"/>
      <w:sz w:val="22"/>
      <w:szCs w:val="22"/>
      <w:lang w:val="en-US" w:bidi="ar-SA"/>
    </w:rPr>
  </w:style>
  <w:style w:type="paragraph" w:styleId="9">
    <w:name w:val="Body Text Indent"/>
    <w:basedOn w:val="1"/>
    <w:link w:val="27"/>
    <w:qFormat/>
    <w:uiPriority w:val="0"/>
    <w:pPr>
      <w:widowControl w:val="0"/>
      <w:adjustRightInd/>
      <w:snapToGrid/>
      <w:spacing w:after="120"/>
      <w:ind w:left="420" w:leftChars="200"/>
      <w:jc w:val="both"/>
    </w:pPr>
    <w:rPr>
      <w:rFonts w:ascii="Times New Roman" w:hAnsi="Times New Roman" w:eastAsia="宋体" w:cs="Times New Roman"/>
      <w:kern w:val="2"/>
      <w:sz w:val="21"/>
      <w:szCs w:val="24"/>
    </w:rPr>
  </w:style>
  <w:style w:type="paragraph" w:styleId="10">
    <w:name w:val="Date"/>
    <w:basedOn w:val="1"/>
    <w:next w:val="1"/>
    <w:link w:val="39"/>
    <w:semiHidden/>
    <w:unhideWhenUsed/>
    <w:qFormat/>
    <w:uiPriority w:val="99"/>
    <w:pPr>
      <w:ind w:left="100" w:leftChars="2500"/>
    </w:pPr>
  </w:style>
  <w:style w:type="paragraph" w:styleId="11">
    <w:name w:val="Balloon Text"/>
    <w:basedOn w:val="1"/>
    <w:link w:val="40"/>
    <w:semiHidden/>
    <w:unhideWhenUsed/>
    <w:qFormat/>
    <w:uiPriority w:val="99"/>
    <w:pPr>
      <w:spacing w:after="0"/>
    </w:pPr>
    <w:rPr>
      <w:sz w:val="18"/>
      <w:szCs w:val="18"/>
    </w:rPr>
  </w:style>
  <w:style w:type="paragraph" w:styleId="12">
    <w:name w:val="footer"/>
    <w:basedOn w:val="1"/>
    <w:link w:val="36"/>
    <w:semiHidden/>
    <w:unhideWhenUsed/>
    <w:qFormat/>
    <w:uiPriority w:val="99"/>
    <w:pPr>
      <w:tabs>
        <w:tab w:val="center" w:pos="4153"/>
        <w:tab w:val="right" w:pos="8306"/>
      </w:tabs>
    </w:pPr>
    <w:rPr>
      <w:sz w:val="18"/>
      <w:szCs w:val="18"/>
    </w:rPr>
  </w:style>
  <w:style w:type="paragraph" w:styleId="13">
    <w:name w:val="header"/>
    <w:basedOn w:val="1"/>
    <w:link w:val="22"/>
    <w:semiHidden/>
    <w:unhideWhenUsed/>
    <w:qFormat/>
    <w:uiPriority w:val="99"/>
    <w:pPr>
      <w:pBdr>
        <w:bottom w:val="single" w:color="auto" w:sz="6" w:space="1"/>
      </w:pBdr>
      <w:tabs>
        <w:tab w:val="center" w:pos="4153"/>
        <w:tab w:val="right" w:pos="8306"/>
      </w:tabs>
      <w:jc w:val="center"/>
    </w:pPr>
    <w:rPr>
      <w:sz w:val="18"/>
      <w:szCs w:val="18"/>
    </w:rPr>
  </w:style>
  <w:style w:type="paragraph" w:styleId="14">
    <w:name w:val="HTML Preformatted"/>
    <w:basedOn w:val="1"/>
    <w:link w:val="28"/>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after="0"/>
    </w:pPr>
    <w:rPr>
      <w:rFonts w:hint="eastAsia" w:ascii="宋体" w:hAnsi="宋体" w:eastAsia="宋体" w:cs="Times New Roman"/>
      <w:sz w:val="24"/>
      <w:szCs w:val="24"/>
    </w:rPr>
  </w:style>
  <w:style w:type="paragraph" w:styleId="15">
    <w:name w:val="Normal (Web)"/>
    <w:basedOn w:val="1"/>
    <w:unhideWhenUsed/>
    <w:qFormat/>
    <w:uiPriority w:val="99"/>
    <w:pPr>
      <w:adjustRightInd/>
      <w:snapToGrid/>
      <w:spacing w:before="100" w:beforeAutospacing="1" w:after="100" w:afterAutospacing="1"/>
    </w:pPr>
    <w:rPr>
      <w:rFonts w:ascii="宋体" w:hAnsi="宋体" w:eastAsia="宋体" w:cs="宋体"/>
      <w:sz w:val="24"/>
      <w:szCs w:val="24"/>
    </w:rPr>
  </w:style>
  <w:style w:type="paragraph" w:styleId="16">
    <w:name w:val="Body Text First Indent 2"/>
    <w:basedOn w:val="7"/>
    <w:next w:val="1"/>
    <w:link w:val="29"/>
    <w:qFormat/>
    <w:uiPriority w:val="0"/>
    <w:pPr>
      <w:snapToGrid w:val="0"/>
      <w:spacing w:afterLines="50" w:line="360" w:lineRule="auto"/>
    </w:pPr>
    <w:rPr>
      <w:rFonts w:ascii="Calibri" w:hAnsi="Calibri" w:cs="Times New Roman"/>
      <w:sz w:val="30"/>
    </w:r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basedOn w:val="19"/>
    <w:qFormat/>
    <w:uiPriority w:val="22"/>
    <w:rPr>
      <w:b/>
    </w:rPr>
  </w:style>
  <w:style w:type="character" w:styleId="21">
    <w:name w:val="annotation reference"/>
    <w:basedOn w:val="19"/>
    <w:semiHidden/>
    <w:unhideWhenUsed/>
    <w:qFormat/>
    <w:uiPriority w:val="99"/>
    <w:rPr>
      <w:sz w:val="21"/>
      <w:szCs w:val="21"/>
    </w:rPr>
  </w:style>
  <w:style w:type="character" w:customStyle="1" w:styleId="22">
    <w:name w:val="页眉 Char"/>
    <w:basedOn w:val="19"/>
    <w:link w:val="13"/>
    <w:semiHidden/>
    <w:qFormat/>
    <w:uiPriority w:val="99"/>
    <w:rPr>
      <w:rFonts w:ascii="Tahoma" w:hAnsi="Tahoma"/>
      <w:sz w:val="18"/>
      <w:szCs w:val="18"/>
    </w:rPr>
  </w:style>
  <w:style w:type="character" w:customStyle="1" w:styleId="23">
    <w:name w:val="标题 1 Char"/>
    <w:basedOn w:val="19"/>
    <w:link w:val="2"/>
    <w:qFormat/>
    <w:uiPriority w:val="0"/>
    <w:rPr>
      <w:rFonts w:ascii="Calibri" w:hAnsi="Calibri" w:eastAsia="仿宋" w:cs="Times New Roman"/>
      <w:b/>
      <w:bCs/>
      <w:kern w:val="44"/>
      <w:sz w:val="32"/>
      <w:szCs w:val="44"/>
    </w:rPr>
  </w:style>
  <w:style w:type="character" w:customStyle="1" w:styleId="24">
    <w:name w:val="标题 2 Char"/>
    <w:basedOn w:val="19"/>
    <w:link w:val="3"/>
    <w:qFormat/>
    <w:uiPriority w:val="0"/>
    <w:rPr>
      <w:rFonts w:ascii="Calibri Light" w:hAnsi="Calibri Light" w:eastAsia="仿宋" w:cs="Times New Roman"/>
      <w:b/>
      <w:bCs/>
      <w:kern w:val="2"/>
      <w:sz w:val="32"/>
      <w:szCs w:val="32"/>
    </w:rPr>
  </w:style>
  <w:style w:type="character" w:customStyle="1" w:styleId="25">
    <w:name w:val="标题 3 Char"/>
    <w:basedOn w:val="19"/>
    <w:link w:val="4"/>
    <w:qFormat/>
    <w:uiPriority w:val="0"/>
    <w:rPr>
      <w:rFonts w:ascii="Calibri" w:hAnsi="Calibri" w:eastAsia="仿宋" w:cs="Times New Roman"/>
      <w:b/>
      <w:bCs/>
      <w:kern w:val="2"/>
      <w:sz w:val="30"/>
      <w:szCs w:val="32"/>
    </w:rPr>
  </w:style>
  <w:style w:type="character" w:customStyle="1" w:styleId="26">
    <w:name w:val="正文文本 Char"/>
    <w:basedOn w:val="19"/>
    <w:link w:val="7"/>
    <w:qFormat/>
    <w:uiPriority w:val="1"/>
    <w:rPr>
      <w:rFonts w:ascii="仿宋" w:hAnsi="仿宋" w:eastAsia="仿宋" w:cs="仿宋"/>
      <w:kern w:val="2"/>
      <w:sz w:val="32"/>
      <w:szCs w:val="32"/>
      <w:lang w:val="zh-CN" w:bidi="zh-CN"/>
    </w:rPr>
  </w:style>
  <w:style w:type="character" w:customStyle="1" w:styleId="27">
    <w:name w:val="正文文本缩进 Char"/>
    <w:basedOn w:val="19"/>
    <w:link w:val="9"/>
    <w:qFormat/>
    <w:uiPriority w:val="0"/>
    <w:rPr>
      <w:rFonts w:ascii="Times New Roman" w:hAnsi="Times New Roman" w:eastAsia="宋体" w:cs="Times New Roman"/>
      <w:kern w:val="2"/>
      <w:sz w:val="21"/>
      <w:szCs w:val="24"/>
    </w:rPr>
  </w:style>
  <w:style w:type="character" w:customStyle="1" w:styleId="28">
    <w:name w:val="HTML 预设格式 Char"/>
    <w:basedOn w:val="19"/>
    <w:link w:val="14"/>
    <w:qFormat/>
    <w:uiPriority w:val="0"/>
    <w:rPr>
      <w:rFonts w:ascii="宋体" w:hAnsi="宋体" w:eastAsia="宋体" w:cs="Times New Roman"/>
      <w:sz w:val="24"/>
      <w:szCs w:val="24"/>
    </w:rPr>
  </w:style>
  <w:style w:type="character" w:customStyle="1" w:styleId="29">
    <w:name w:val="正文首行缩进 2 Char"/>
    <w:basedOn w:val="27"/>
    <w:link w:val="16"/>
    <w:qFormat/>
    <w:uiPriority w:val="0"/>
    <w:rPr>
      <w:rFonts w:ascii="Calibri" w:hAnsi="Calibri" w:eastAsia="仿宋"/>
      <w:sz w:val="30"/>
      <w:szCs w:val="32"/>
      <w:lang w:val="zh-CN" w:bidi="zh-CN"/>
    </w:rPr>
  </w:style>
  <w:style w:type="character" w:customStyle="1" w:styleId="30">
    <w:name w:val="正文首行缩进 Char"/>
    <w:basedOn w:val="26"/>
    <w:link w:val="8"/>
    <w:semiHidden/>
    <w:qFormat/>
    <w:uiPriority w:val="99"/>
  </w:style>
  <w:style w:type="paragraph" w:styleId="31">
    <w:name w:val="List Paragraph"/>
    <w:basedOn w:val="1"/>
    <w:qFormat/>
    <w:uiPriority w:val="34"/>
    <w:pPr>
      <w:ind w:firstLine="420" w:firstLineChars="200"/>
    </w:pPr>
  </w:style>
  <w:style w:type="table" w:customStyle="1" w:styleId="32">
    <w:name w:val="Table Normal"/>
    <w:semiHidden/>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33">
    <w:name w:val="marklang-paragraph"/>
    <w:basedOn w:val="1"/>
    <w:qFormat/>
    <w:uiPriority w:val="0"/>
    <w:pPr>
      <w:adjustRightInd/>
      <w:snapToGrid/>
      <w:spacing w:before="100" w:beforeAutospacing="1" w:after="100" w:afterAutospacing="1"/>
    </w:pPr>
    <w:rPr>
      <w:rFonts w:ascii="宋体" w:hAnsi="宋体" w:eastAsia="宋体" w:cs="宋体"/>
      <w:sz w:val="24"/>
      <w:szCs w:val="24"/>
    </w:rPr>
  </w:style>
  <w:style w:type="character" w:customStyle="1" w:styleId="34">
    <w:name w:val="cosd-citation-tag-number"/>
    <w:basedOn w:val="19"/>
    <w:qFormat/>
    <w:uiPriority w:val="0"/>
  </w:style>
  <w:style w:type="character" w:customStyle="1" w:styleId="35">
    <w:name w:val="cosd-citation-tag-text"/>
    <w:basedOn w:val="19"/>
    <w:qFormat/>
    <w:uiPriority w:val="0"/>
  </w:style>
  <w:style w:type="character" w:customStyle="1" w:styleId="36">
    <w:name w:val="页脚 Char"/>
    <w:basedOn w:val="19"/>
    <w:link w:val="12"/>
    <w:semiHidden/>
    <w:qFormat/>
    <w:uiPriority w:val="99"/>
    <w:rPr>
      <w:rFonts w:ascii="Tahoma" w:hAnsi="Tahoma"/>
      <w:sz w:val="18"/>
      <w:szCs w:val="18"/>
    </w:rPr>
  </w:style>
  <w:style w:type="character" w:customStyle="1" w:styleId="37">
    <w:name w:val="批注文字 Char"/>
    <w:basedOn w:val="19"/>
    <w:link w:val="6"/>
    <w:qFormat/>
    <w:uiPriority w:val="99"/>
    <w:rPr>
      <w:rFonts w:ascii="Tahoma" w:hAnsi="Tahoma"/>
    </w:rPr>
  </w:style>
  <w:style w:type="paragraph" w:customStyle="1" w:styleId="38">
    <w:name w:val="Table Text"/>
    <w:basedOn w:val="1"/>
    <w:semiHidden/>
    <w:qFormat/>
    <w:uiPriority w:val="0"/>
    <w:pPr>
      <w:kinsoku w:val="0"/>
      <w:autoSpaceDE w:val="0"/>
      <w:autoSpaceDN w:val="0"/>
      <w:spacing w:after="0"/>
      <w:textAlignment w:val="baseline"/>
    </w:pPr>
    <w:rPr>
      <w:rFonts w:ascii="Times New Roman" w:hAnsi="Times New Roman" w:eastAsia="Times New Roman" w:cs="Times New Roman"/>
      <w:snapToGrid w:val="0"/>
      <w:color w:val="000000"/>
      <w:sz w:val="20"/>
      <w:szCs w:val="20"/>
      <w:lang w:eastAsia="en-US"/>
    </w:rPr>
  </w:style>
  <w:style w:type="character" w:customStyle="1" w:styleId="39">
    <w:name w:val="日期 Char"/>
    <w:basedOn w:val="19"/>
    <w:link w:val="10"/>
    <w:semiHidden/>
    <w:qFormat/>
    <w:uiPriority w:val="99"/>
    <w:rPr>
      <w:rFonts w:ascii="Tahoma" w:hAnsi="Tahoma"/>
    </w:rPr>
  </w:style>
  <w:style w:type="character" w:customStyle="1" w:styleId="40">
    <w:name w:val="批注框文本 Char"/>
    <w:basedOn w:val="19"/>
    <w:link w:val="11"/>
    <w:semiHidden/>
    <w:qFormat/>
    <w:uiPriority w:val="99"/>
    <w:rPr>
      <w:rFonts w:ascii="Tahoma" w:hAnsi="Tahoma"/>
      <w:sz w:val="18"/>
      <w:szCs w:val="18"/>
    </w:rPr>
  </w:style>
  <w:style w:type="character" w:customStyle="1" w:styleId="41">
    <w:name w:val="font61"/>
    <w:basedOn w:val="19"/>
    <w:qFormat/>
    <w:uiPriority w:val="0"/>
    <w:rPr>
      <w:rFonts w:hint="default" w:ascii="仿宋" w:hAnsi="仿宋" w:eastAsia="仿宋" w:cs="仿宋"/>
      <w:color w:val="000000"/>
      <w:sz w:val="24"/>
      <w:szCs w:val="24"/>
      <w:u w:val="none"/>
    </w:rPr>
  </w:style>
  <w:style w:type="character" w:customStyle="1" w:styleId="42">
    <w:name w:val="font71"/>
    <w:basedOn w:val="19"/>
    <w:qFormat/>
    <w:uiPriority w:val="0"/>
    <w:rPr>
      <w:rFonts w:hint="default" w:ascii="仿宋" w:hAnsi="仿宋" w:eastAsia="仿宋" w:cs="仿宋"/>
      <w:color w:val="FF0000"/>
      <w:sz w:val="24"/>
      <w:szCs w:val="24"/>
      <w:u w:val="none"/>
    </w:rPr>
  </w:style>
  <w:style w:type="character" w:customStyle="1" w:styleId="43">
    <w:name w:val="font41"/>
    <w:basedOn w:val="19"/>
    <w:qFormat/>
    <w:uiPriority w:val="0"/>
    <w:rPr>
      <w:rFonts w:hint="default" w:ascii="仿宋" w:hAnsi="仿宋" w:eastAsia="仿宋" w:cs="仿宋"/>
      <w:color w:val="000000"/>
      <w:sz w:val="24"/>
      <w:szCs w:val="24"/>
      <w:u w:val="none"/>
    </w:rPr>
  </w:style>
  <w:style w:type="character" w:customStyle="1" w:styleId="44">
    <w:name w:val="font51"/>
    <w:basedOn w:val="19"/>
    <w:qFormat/>
    <w:uiPriority w:val="0"/>
    <w:rPr>
      <w:rFonts w:hint="default" w:ascii="仿宋" w:hAnsi="仿宋" w:eastAsia="仿宋" w:cs="仿宋"/>
      <w:color w:val="FF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1.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1445</Words>
  <Characters>8241</Characters>
  <Lines>68</Lines>
  <Paragraphs>19</Paragraphs>
  <TotalTime>163</TotalTime>
  <ScaleCrop>false</ScaleCrop>
  <LinksUpToDate>false</LinksUpToDate>
  <CharactersWithSpaces>9667</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2008-09-15T09:20:00Z</dcterms:created>
  <dc:creator>晓雪</dc:creator>
  <cp:lastModifiedBy>jdzadmin</cp:lastModifiedBy>
  <dcterms:modified xsi:type="dcterms:W3CDTF">2026-08-17T10:07:32Z</dcterms:modified>
  <cp:revision>225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eyJoZGlkIjoiMmQ5ZWZmZTM0Mjc5ZDI1Y2E5YjI0ZTEwNzg0YzViMzAiLCJ1c2VySWQiOiIxNDI1NzkwNDg1In0=</vt:lpwstr>
  </property>
  <property fmtid="{D5CDD505-2E9C-101B-9397-08002B2CF9AE}" pid="3" name="KSOProductBuildVer">
    <vt:lpwstr>2052-12.8.2.20327</vt:lpwstr>
  </property>
  <property fmtid="{D5CDD505-2E9C-101B-9397-08002B2CF9AE}" pid="4" name="ICV">
    <vt:lpwstr>E8496519C4FC36CB3DAB7A6AF4EFBA20_43</vt:lpwstr>
  </property>
</Properties>
</file>